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left"/>
        <w:rPr>
          <w:rFonts w:ascii="Times New Roman" w:hAnsi="Times New Roman" w:eastAsia="宋体" w:cs="Times New Roman"/>
          <w:szCs w:val="21"/>
        </w:rPr>
      </w:pPr>
      <w:r>
        <w:rPr>
          <w:rFonts w:ascii="Calibri" w:hAnsi="Calibri" w:eastAsia="宋体" w:cs="Times New Roman"/>
        </w:rPr>
        <w:drawing>
          <wp:anchor distT="0" distB="0" distL="114300" distR="114300" simplePos="0" relativeHeight="251659264" behindDoc="1" locked="0" layoutInCell="1" allowOverlap="1">
            <wp:simplePos x="0" y="0"/>
            <wp:positionH relativeFrom="column">
              <wp:posOffset>4742815</wp:posOffset>
            </wp:positionH>
            <wp:positionV relativeFrom="paragraph">
              <wp:posOffset>36195</wp:posOffset>
            </wp:positionV>
            <wp:extent cx="481965" cy="438785"/>
            <wp:effectExtent l="0" t="0" r="0" b="0"/>
            <wp:wrapNone/>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81965" cy="438785"/>
                    </a:xfrm>
                    <a:prstGeom prst="rect">
                      <a:avLst/>
                    </a:prstGeom>
                    <a:noFill/>
                  </pic:spPr>
                </pic:pic>
              </a:graphicData>
            </a:graphic>
          </wp:anchor>
        </w:drawing>
      </w:r>
      <w:r>
        <w:rPr>
          <w:rFonts w:hint="eastAsia" w:ascii="Times New Roman" w:hAnsi="Times New Roman" w:eastAsia="宋体" w:cs="Times New Roman"/>
          <w:szCs w:val="21"/>
        </w:rPr>
        <w:t>核准日期：</w:t>
      </w:r>
      <w:r>
        <w:rPr>
          <w:rFonts w:hint="eastAsia" w:ascii="Times New Roman" w:hAnsi="Times New Roman" w:eastAsia="宋体" w:cs="Times New Roman"/>
          <w:szCs w:val="21"/>
          <w:lang w:val="en-US" w:eastAsia="zh-CN"/>
        </w:rPr>
        <w:t>2023</w:t>
      </w:r>
      <w:r>
        <w:rPr>
          <w:rFonts w:hint="eastAsia" w:ascii="Times New Roman" w:hAnsi="Times New Roman" w:eastAsia="宋体" w:cs="Times New Roman"/>
          <w:szCs w:val="21"/>
        </w:rPr>
        <w:t xml:space="preserve">年 </w:t>
      </w:r>
      <w:r>
        <w:rPr>
          <w:rFonts w:hint="eastAsia" w:ascii="Times New Roman" w:hAnsi="Times New Roman" w:eastAsia="宋体" w:cs="Times New Roman"/>
          <w:szCs w:val="21"/>
          <w:lang w:val="en-US" w:eastAsia="zh-CN"/>
        </w:rPr>
        <w:t>5</w:t>
      </w:r>
      <w:r>
        <w:rPr>
          <w:rFonts w:hint="eastAsia" w:ascii="Times New Roman" w:hAnsi="Times New Roman" w:eastAsia="宋体" w:cs="Times New Roman"/>
          <w:szCs w:val="21"/>
        </w:rPr>
        <w:t xml:space="preserve"> 月 </w:t>
      </w:r>
      <w:r>
        <w:rPr>
          <w:rFonts w:hint="eastAsia" w:ascii="Times New Roman" w:hAnsi="Times New Roman" w:eastAsia="宋体" w:cs="Times New Roman"/>
          <w:szCs w:val="21"/>
          <w:lang w:val="en-US" w:eastAsia="zh-CN"/>
        </w:rPr>
        <w:t>2</w:t>
      </w:r>
      <w:bookmarkStart w:id="0" w:name="_GoBack"/>
      <w:bookmarkEnd w:id="0"/>
      <w:r>
        <w:rPr>
          <w:rFonts w:hint="eastAsia" w:ascii="Times New Roman" w:hAnsi="Times New Roman" w:eastAsia="宋体" w:cs="Times New Roman"/>
          <w:szCs w:val="21"/>
          <w:lang w:val="en-US" w:eastAsia="zh-CN"/>
        </w:rPr>
        <w:t>9</w:t>
      </w:r>
      <w:r>
        <w:rPr>
          <w:rFonts w:hint="eastAsia" w:ascii="Times New Roman" w:hAnsi="Times New Roman" w:eastAsia="宋体" w:cs="Times New Roman"/>
          <w:szCs w:val="21"/>
        </w:rPr>
        <w:t xml:space="preserve"> 日</w:t>
      </w:r>
    </w:p>
    <w:p>
      <w:pPr>
        <w:adjustRightInd w:val="0"/>
        <w:snapToGrid w:val="0"/>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修改日期：  年  月  日</w:t>
      </w:r>
    </w:p>
    <w:p>
      <w:pPr>
        <w:adjustRightInd w:val="0"/>
        <w:snapToGrid w:val="0"/>
        <w:spacing w:line="360" w:lineRule="auto"/>
        <w:jc w:val="center"/>
        <w:rPr>
          <w:rFonts w:ascii="黑体" w:hAnsi="宋体" w:eastAsia="黑体" w:cs="宋体"/>
          <w:sz w:val="28"/>
          <w:szCs w:val="28"/>
        </w:rPr>
      </w:pPr>
      <w:r>
        <w:rPr>
          <w:rFonts w:hint="eastAsia" w:ascii="黑体" w:hAnsi="宋体" w:eastAsia="黑体" w:cs="宋体"/>
          <w:sz w:val="28"/>
          <w:szCs w:val="28"/>
        </w:rPr>
        <w:t>利丙双卡因乳膏说明书</w:t>
      </w:r>
    </w:p>
    <w:p>
      <w:pPr>
        <w:widowControl/>
        <w:adjustRightInd w:val="0"/>
        <w:snapToGrid w:val="0"/>
        <w:spacing w:line="360" w:lineRule="auto"/>
        <w:ind w:right="9"/>
        <w:jc w:val="center"/>
        <w:rPr>
          <w:rFonts w:ascii="宋体" w:hAnsi="宋体" w:eastAsia="宋体" w:cs="Times New Roman"/>
          <w:color w:val="000000"/>
          <w:kern w:val="0"/>
          <w:szCs w:val="21"/>
        </w:rPr>
      </w:pPr>
      <w:r>
        <w:rPr>
          <w:rFonts w:hint="eastAsia" w:ascii="宋体" w:hAnsi="宋体" w:eastAsia="宋体" w:cs="Times New Roman"/>
          <w:color w:val="000000"/>
          <w:kern w:val="0"/>
          <w:szCs w:val="21"/>
        </w:rPr>
        <w:t>请仔细阅读说明书并在医师或药师指导下使用</w:t>
      </w:r>
    </w:p>
    <w:p>
      <w:pPr>
        <w:adjustRightInd w:val="0"/>
        <w:snapToGrid w:val="0"/>
        <w:spacing w:line="360" w:lineRule="auto"/>
        <w:jc w:val="center"/>
        <w:rPr>
          <w:rFonts w:ascii="Times New Roman" w:hAnsi="Times New Roman" w:eastAsia="宋体" w:cs="Times New Roman"/>
        </w:rPr>
      </w:pPr>
    </w:p>
    <w:p>
      <w:pPr>
        <w:adjustRightInd w:val="0"/>
        <w:snapToGrid w:val="0"/>
        <w:spacing w:line="360" w:lineRule="auto"/>
        <w:rPr>
          <w:rFonts w:ascii="Times New Roman" w:hAnsi="Times New Roman" w:eastAsia="宋体" w:cs="Times New Roman"/>
          <w:b/>
          <w:highlight w:val="none"/>
        </w:rPr>
      </w:pPr>
      <w:r>
        <w:rPr>
          <w:rFonts w:hint="eastAsia" w:ascii="Times New Roman" w:hAnsi="Times New Roman" w:eastAsia="宋体" w:cs="Times New Roman"/>
          <w:b/>
          <w:highlight w:val="none"/>
        </w:rPr>
        <w:t>【药品名称】</w:t>
      </w:r>
    </w:p>
    <w:p>
      <w:pPr>
        <w:adjustRightInd w:val="0"/>
        <w:snapToGrid w:val="0"/>
        <w:spacing w:line="360" w:lineRule="auto"/>
        <w:ind w:firstLine="420" w:firstLineChars="200"/>
        <w:rPr>
          <w:rFonts w:ascii="Times New Roman" w:hAnsi="Times New Roman" w:eastAsia="宋体" w:cs="Times New Roman"/>
          <w:highlight w:val="none"/>
        </w:rPr>
      </w:pPr>
      <w:r>
        <w:rPr>
          <w:rFonts w:hint="eastAsia" w:ascii="Times New Roman" w:hAnsi="Times New Roman" w:eastAsia="宋体" w:cs="Times New Roman"/>
          <w:highlight w:val="none"/>
        </w:rPr>
        <w:t>通用名称：利丙双卡因乳膏</w:t>
      </w:r>
    </w:p>
    <w:p>
      <w:pPr>
        <w:adjustRightInd w:val="0"/>
        <w:snapToGrid w:val="0"/>
        <w:spacing w:line="360" w:lineRule="auto"/>
        <w:ind w:firstLine="420" w:firstLineChars="200"/>
        <w:rPr>
          <w:rFonts w:ascii="Calibri" w:hAnsi="Calibri" w:eastAsia="宋体" w:cs="Times New Roman"/>
          <w:b/>
          <w:bCs/>
          <w:highlight w:val="none"/>
        </w:rPr>
      </w:pPr>
      <w:r>
        <w:rPr>
          <w:rFonts w:hint="eastAsia" w:ascii="Times New Roman" w:hAnsi="Times New Roman" w:eastAsia="宋体" w:cs="Times New Roman"/>
          <w:highlight w:val="none"/>
        </w:rPr>
        <w:t>英文名称：</w:t>
      </w:r>
      <w:r>
        <w:rPr>
          <w:rFonts w:ascii="Times New Roman" w:hAnsi="Times New Roman" w:eastAsia="宋体" w:cs="Times New Roman"/>
          <w:highlight w:val="none"/>
        </w:rPr>
        <w:t>Lidocaine and Prilocaine Cream</w:t>
      </w:r>
    </w:p>
    <w:p>
      <w:pPr>
        <w:adjustRightInd w:val="0"/>
        <w:snapToGrid w:val="0"/>
        <w:spacing w:line="360" w:lineRule="auto"/>
        <w:ind w:firstLine="420" w:firstLineChars="200"/>
        <w:rPr>
          <w:rFonts w:ascii="Calibri" w:hAnsi="Calibri" w:eastAsia="宋体" w:cs="Times New Roman"/>
          <w:b/>
          <w:bCs/>
          <w:highlight w:val="none"/>
        </w:rPr>
      </w:pPr>
      <w:r>
        <w:rPr>
          <w:rFonts w:hint="eastAsia" w:ascii="Times New Roman" w:hAnsi="Times New Roman" w:eastAsia="宋体" w:cs="Times New Roman"/>
          <w:highlight w:val="none"/>
        </w:rPr>
        <w:t>汉语拼音：</w:t>
      </w:r>
      <w:r>
        <w:rPr>
          <w:rFonts w:ascii="Times New Roman" w:hAnsi="Times New Roman" w:eastAsia="宋体" w:cs="Times New Roman"/>
          <w:highlight w:val="none"/>
        </w:rPr>
        <w:t>Libingshuangkayin Rugao</w:t>
      </w:r>
    </w:p>
    <w:p>
      <w:pPr>
        <w:adjustRightInd w:val="0"/>
        <w:snapToGrid w:val="0"/>
        <w:spacing w:line="360" w:lineRule="auto"/>
        <w:rPr>
          <w:rFonts w:ascii="Times New Roman" w:hAnsi="Times New Roman" w:eastAsia="宋体" w:cs="Times New Roman"/>
          <w:b/>
          <w:highlight w:val="none"/>
        </w:rPr>
      </w:pPr>
      <w:r>
        <w:rPr>
          <w:rFonts w:hint="eastAsia" w:ascii="Times New Roman" w:hAnsi="Times New Roman" w:eastAsia="宋体" w:cs="Times New Roman"/>
          <w:b/>
          <w:highlight w:val="none"/>
        </w:rPr>
        <w:t>【成份】</w:t>
      </w:r>
    </w:p>
    <w:p>
      <w:pPr>
        <w:adjustRightInd w:val="0"/>
        <w:snapToGrid w:val="0"/>
        <w:spacing w:line="360" w:lineRule="auto"/>
        <w:ind w:firstLine="420" w:firstLineChars="200"/>
        <w:jc w:val="left"/>
        <w:rPr>
          <w:rFonts w:ascii="Times New Roman" w:hAnsi="Times New Roman" w:eastAsia="宋体" w:cs="Times New Roman"/>
          <w:kern w:val="0"/>
          <w:highlight w:val="none"/>
        </w:rPr>
      </w:pPr>
      <w:r>
        <w:rPr>
          <w:rFonts w:hint="eastAsia" w:ascii="Times New Roman" w:hAnsi="Times New Roman" w:eastAsia="宋体" w:cs="Times New Roman"/>
          <w:kern w:val="0"/>
          <w:highlight w:val="none"/>
        </w:rPr>
        <w:t>本品为复方制剂，其组份为利多卡因和丙胺卡因，每g本品含利多卡因2</w:t>
      </w:r>
      <w:r>
        <w:rPr>
          <w:rFonts w:ascii="Times New Roman" w:hAnsi="Times New Roman" w:eastAsia="宋体" w:cs="Times New Roman"/>
          <w:kern w:val="0"/>
          <w:highlight w:val="none"/>
        </w:rPr>
        <w:t>5</w:t>
      </w:r>
      <w:r>
        <w:rPr>
          <w:rFonts w:hint="eastAsia" w:ascii="Times New Roman" w:hAnsi="Times New Roman" w:eastAsia="宋体" w:cs="Times New Roman"/>
          <w:kern w:val="0"/>
          <w:highlight w:val="none"/>
        </w:rPr>
        <w:t>mg与丙胺卡因2</w:t>
      </w:r>
      <w:r>
        <w:rPr>
          <w:rFonts w:ascii="Times New Roman" w:hAnsi="Times New Roman" w:eastAsia="宋体" w:cs="Times New Roman"/>
          <w:kern w:val="0"/>
          <w:highlight w:val="none"/>
        </w:rPr>
        <w:t>5</w:t>
      </w:r>
      <w:r>
        <w:rPr>
          <w:rFonts w:hint="eastAsia" w:ascii="Times New Roman" w:hAnsi="Times New Roman" w:eastAsia="宋体" w:cs="Times New Roman"/>
          <w:kern w:val="0"/>
          <w:highlight w:val="none"/>
        </w:rPr>
        <w:t>mg。</w:t>
      </w:r>
    </w:p>
    <w:p>
      <w:pPr>
        <w:adjustRightInd w:val="0"/>
        <w:snapToGrid w:val="0"/>
        <w:spacing w:line="360" w:lineRule="auto"/>
        <w:ind w:firstLine="420" w:firstLineChars="200"/>
        <w:jc w:val="left"/>
        <w:rPr>
          <w:rFonts w:ascii="Times New Roman" w:hAnsi="Times New Roman" w:eastAsia="宋体" w:cs="Times New Roman"/>
          <w:kern w:val="0"/>
          <w:highlight w:val="none"/>
        </w:rPr>
      </w:pPr>
      <w:r>
        <w:rPr>
          <w:rFonts w:hint="eastAsia" w:ascii="Times New Roman" w:hAnsi="Times New Roman" w:eastAsia="宋体" w:cs="Times New Roman"/>
          <w:kern w:val="0"/>
          <w:highlight w:val="none"/>
        </w:rPr>
        <w:t>辅料为聚氧乙烯</w:t>
      </w:r>
      <w:r>
        <w:rPr>
          <w:rFonts w:ascii="Times New Roman" w:hAnsi="Times New Roman" w:eastAsia="宋体" w:cs="Times New Roman"/>
          <w:kern w:val="0"/>
          <w:highlight w:val="none"/>
        </w:rPr>
        <w:t>40氢化蓖麻油、卡波姆均聚物B型</w:t>
      </w:r>
      <w:r>
        <w:rPr>
          <w:rFonts w:hint="eastAsia" w:ascii="Times New Roman" w:hAnsi="Times New Roman" w:eastAsia="宋体" w:cs="Times New Roman"/>
          <w:kern w:val="0"/>
          <w:highlight w:val="none"/>
        </w:rPr>
        <w:t>、氢氧化钠、纯化水。</w:t>
      </w:r>
    </w:p>
    <w:p>
      <w:pPr>
        <w:adjustRightInd w:val="0"/>
        <w:snapToGrid w:val="0"/>
        <w:spacing w:line="360" w:lineRule="auto"/>
        <w:rPr>
          <w:rFonts w:ascii="Times New Roman" w:hAnsi="Times New Roman" w:eastAsia="宋体" w:cs="Times New Roman"/>
          <w:b/>
          <w:highlight w:val="none"/>
        </w:rPr>
      </w:pPr>
      <w:r>
        <w:rPr>
          <w:rFonts w:hint="eastAsia" w:ascii="Times New Roman" w:hAnsi="Times New Roman" w:eastAsia="宋体" w:cs="Times New Roman"/>
          <w:b/>
          <w:highlight w:val="none"/>
        </w:rPr>
        <w:t>【性状】</w:t>
      </w:r>
    </w:p>
    <w:p>
      <w:pPr>
        <w:adjustRightInd w:val="0"/>
        <w:snapToGrid w:val="0"/>
        <w:spacing w:line="360" w:lineRule="auto"/>
        <w:ind w:firstLine="420" w:firstLineChars="200"/>
        <w:jc w:val="left"/>
        <w:rPr>
          <w:rFonts w:ascii="Times New Roman" w:hAnsi="Times New Roman" w:eastAsia="宋体" w:cs="Times New Roman"/>
          <w:highlight w:val="none"/>
        </w:rPr>
      </w:pPr>
      <w:r>
        <w:rPr>
          <w:rFonts w:hint="eastAsia" w:ascii="Times New Roman" w:hAnsi="Times New Roman" w:eastAsia="宋体" w:cs="Times New Roman"/>
          <w:highlight w:val="none"/>
        </w:rPr>
        <w:t>本品为白色乳膏。</w:t>
      </w:r>
    </w:p>
    <w:p>
      <w:pPr>
        <w:adjustRightInd w:val="0"/>
        <w:snapToGrid w:val="0"/>
        <w:spacing w:line="360" w:lineRule="auto"/>
        <w:rPr>
          <w:rFonts w:ascii="Times New Roman" w:hAnsi="Times New Roman" w:eastAsia="宋体" w:cs="Times New Roman"/>
          <w:b/>
        </w:rPr>
      </w:pPr>
      <w:r>
        <w:rPr>
          <w:rFonts w:hint="eastAsia" w:ascii="Times New Roman" w:hAnsi="Times New Roman" w:eastAsia="宋体" w:cs="Times New Roman"/>
          <w:b/>
        </w:rPr>
        <w:t>【适应症】</w:t>
      </w:r>
    </w:p>
    <w:p>
      <w:pPr>
        <w:widowControl/>
        <w:adjustRightInd w:val="0"/>
        <w:snapToGrid w:val="0"/>
        <w:spacing w:line="36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用于下列情况的皮肤局部麻醉</w:t>
      </w:r>
    </w:p>
    <w:p>
      <w:pPr>
        <w:widowControl/>
        <w:adjustRightInd w:val="0"/>
        <w:snapToGrid w:val="0"/>
        <w:spacing w:line="360" w:lineRule="auto"/>
        <w:ind w:firstLine="420" w:firstLineChars="200"/>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w:t>
      </w:r>
      <w:r>
        <w:rPr>
          <w:rFonts w:hint="eastAsia" w:ascii="Times New Roman" w:hAnsi="Times New Roman" w:eastAsia="宋体" w:cs="Times New Roman"/>
          <w:color w:val="000000"/>
          <w:kern w:val="0"/>
          <w:szCs w:val="21"/>
        </w:rPr>
        <w:t>针穿刺，例如：置入导管或采血。</w:t>
      </w:r>
    </w:p>
    <w:p>
      <w:pPr>
        <w:widowControl/>
        <w:adjustRightInd w:val="0"/>
        <w:snapToGrid w:val="0"/>
        <w:spacing w:line="360" w:lineRule="auto"/>
        <w:ind w:firstLine="420" w:firstLineChars="200"/>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w:t>
      </w:r>
      <w:r>
        <w:rPr>
          <w:rFonts w:hint="eastAsia" w:ascii="Times New Roman" w:hAnsi="Times New Roman" w:eastAsia="宋体" w:cs="Times New Roman"/>
          <w:color w:val="000000"/>
          <w:kern w:val="0"/>
          <w:szCs w:val="21"/>
        </w:rPr>
        <w:t>浅层外科手术。例如：生殖器粘膜，在浅层外科手术或浸润麻醉之前；腿部溃疡清洁</w:t>
      </w:r>
      <w:r>
        <w:rPr>
          <w:rFonts w:ascii="Times New Roman" w:hAnsi="Times New Roman" w:eastAsia="宋体" w:cs="Times New Roman"/>
          <w:color w:val="000000"/>
          <w:kern w:val="0"/>
          <w:szCs w:val="21"/>
        </w:rPr>
        <w:t>/</w:t>
      </w:r>
      <w:r>
        <w:rPr>
          <w:rFonts w:hint="eastAsia" w:ascii="Times New Roman" w:hAnsi="Times New Roman" w:eastAsia="宋体" w:cs="Times New Roman"/>
          <w:color w:val="000000"/>
          <w:kern w:val="0"/>
          <w:szCs w:val="21"/>
        </w:rPr>
        <w:t>清创术。</w:t>
      </w:r>
    </w:p>
    <w:p>
      <w:pPr>
        <w:adjustRightInd w:val="0"/>
        <w:snapToGrid w:val="0"/>
        <w:spacing w:line="360" w:lineRule="auto"/>
        <w:jc w:val="left"/>
        <w:rPr>
          <w:rFonts w:ascii="Times New Roman" w:hAnsi="Times New Roman" w:eastAsia="宋体" w:cs="Times New Roman"/>
          <w:b/>
          <w:highlight w:val="none"/>
        </w:rPr>
      </w:pPr>
      <w:r>
        <w:rPr>
          <w:rFonts w:hint="eastAsia" w:ascii="Times New Roman" w:hAnsi="Times New Roman" w:eastAsia="宋体" w:cs="Times New Roman"/>
          <w:b/>
          <w:szCs w:val="21"/>
          <w:highlight w:val="none"/>
        </w:rPr>
        <w:t>【规格】</w:t>
      </w:r>
    </w:p>
    <w:p>
      <w:pPr>
        <w:adjustRightInd w:val="0"/>
        <w:snapToGrid w:val="0"/>
        <w:spacing w:line="360" w:lineRule="auto"/>
        <w:ind w:firstLine="420" w:firstLineChars="200"/>
        <w:jc w:val="left"/>
        <w:rPr>
          <w:rFonts w:ascii="Times New Roman" w:hAnsi="Times New Roman" w:eastAsia="宋体" w:cs="Times New Roman"/>
          <w:kern w:val="0"/>
          <w:highlight w:val="none"/>
        </w:rPr>
      </w:pPr>
      <w:r>
        <w:rPr>
          <w:rFonts w:ascii="Times New Roman" w:hAnsi="Times New Roman" w:eastAsia="宋体" w:cs="Times New Roman"/>
          <w:kern w:val="0"/>
          <w:highlight w:val="none"/>
        </w:rPr>
        <w:t>1g：利多卡因25mg与丙胺卡因25mg</w:t>
      </w:r>
    </w:p>
    <w:p>
      <w:pPr>
        <w:adjustRightInd w:val="0"/>
        <w:snapToGrid w:val="0"/>
        <w:spacing w:line="360" w:lineRule="auto"/>
        <w:jc w:val="left"/>
        <w:rPr>
          <w:rFonts w:ascii="Times New Roman" w:hAnsi="Times New Roman" w:eastAsia="宋体" w:cs="Times New Roman"/>
          <w:b/>
          <w:szCs w:val="21"/>
        </w:rPr>
      </w:pPr>
      <w:r>
        <w:rPr>
          <w:rFonts w:hint="eastAsia" w:ascii="Times New Roman" w:hAnsi="Times New Roman" w:eastAsia="宋体" w:cs="Times New Roman"/>
          <w:b/>
          <w:szCs w:val="21"/>
        </w:rPr>
        <w:t>【用法用量】</w:t>
      </w:r>
    </w:p>
    <w:p>
      <w:pPr>
        <w:autoSpaceDE w:val="0"/>
        <w:autoSpaceDN w:val="0"/>
        <w:adjustRightInd w:val="0"/>
        <w:snapToGrid w:val="0"/>
        <w:spacing w:line="360" w:lineRule="auto"/>
        <w:ind w:firstLine="420" w:firstLineChars="200"/>
        <w:jc w:val="left"/>
        <w:rPr>
          <w:rFonts w:ascii="Times New Roman" w:hAnsi="Times New Roman" w:eastAsia="宋体" w:cs="Times New Roman"/>
          <w:kern w:val="0"/>
        </w:rPr>
      </w:pPr>
      <w:r>
        <w:rPr>
          <w:rFonts w:hint="eastAsia" w:ascii="Times New Roman" w:hAnsi="Times New Roman" w:eastAsia="宋体" w:cs="Times New Roman"/>
          <w:kern w:val="0"/>
        </w:rPr>
        <w:t>使用说明</w:t>
      </w:r>
    </w:p>
    <w:p>
      <w:pPr>
        <w:autoSpaceDE w:val="0"/>
        <w:autoSpaceDN w:val="0"/>
        <w:adjustRightInd w:val="0"/>
        <w:snapToGrid w:val="0"/>
        <w:spacing w:line="360" w:lineRule="auto"/>
        <w:ind w:firstLine="420" w:firstLineChars="200"/>
        <w:jc w:val="left"/>
        <w:rPr>
          <w:rFonts w:ascii="Calibri" w:hAnsi="Calibri" w:eastAsia="宋体" w:cs="Times New Roman"/>
          <w:kern w:val="0"/>
        </w:rPr>
      </w:pPr>
      <w:r>
        <w:rPr>
          <w:rFonts w:hint="eastAsia" w:ascii="Calibri" w:hAnsi="Calibri" w:eastAsia="宋体" w:cs="Times New Roman"/>
          <w:kern w:val="0"/>
        </w:rPr>
        <w:t>铝管的封口用盖子反过来的尖端刺穿。</w:t>
      </w:r>
    </w:p>
    <w:p>
      <w:pPr>
        <w:autoSpaceDE w:val="0"/>
        <w:autoSpaceDN w:val="0"/>
        <w:adjustRightInd w:val="0"/>
        <w:snapToGrid w:val="0"/>
        <w:spacing w:line="360" w:lineRule="auto"/>
        <w:ind w:firstLine="420" w:firstLineChars="200"/>
        <w:jc w:val="left"/>
        <w:rPr>
          <w:rFonts w:ascii="Calibri" w:hAnsi="Calibri" w:eastAsia="宋体" w:cs="Times New Roman"/>
          <w:kern w:val="0"/>
        </w:rPr>
      </w:pPr>
      <w:r>
        <w:rPr>
          <w:rFonts w:hint="eastAsia" w:ascii="Calibri" w:hAnsi="Calibri" w:eastAsia="宋体" w:cs="Times New Roman"/>
          <w:kern w:val="0"/>
        </w:rPr>
        <w:t>当用于腿部溃疡时建议每管利丙双卡因乳膏单次使用，使用后抛弃。</w:t>
      </w:r>
    </w:p>
    <w:p>
      <w:pPr>
        <w:autoSpaceDE w:val="0"/>
        <w:autoSpaceDN w:val="0"/>
        <w:adjustRightInd w:val="0"/>
        <w:snapToGrid w:val="0"/>
        <w:spacing w:line="360" w:lineRule="auto"/>
        <w:ind w:firstLine="420" w:firstLineChars="200"/>
        <w:jc w:val="left"/>
        <w:rPr>
          <w:rFonts w:ascii="Calibri" w:hAnsi="Calibri" w:eastAsia="宋体" w:cs="Times New Roman"/>
          <w:kern w:val="0"/>
        </w:rPr>
      </w:pPr>
      <w:r>
        <w:rPr>
          <w:rFonts w:hint="eastAsia" w:ascii="Calibri" w:hAnsi="Calibri" w:eastAsia="宋体" w:cs="Times New Roman"/>
          <w:kern w:val="0"/>
        </w:rPr>
        <w:t>使用说明</w:t>
      </w:r>
    </w:p>
    <w:p>
      <w:pPr>
        <w:autoSpaceDE w:val="0"/>
        <w:autoSpaceDN w:val="0"/>
        <w:adjustRightInd w:val="0"/>
        <w:snapToGrid w:val="0"/>
        <w:spacing w:line="360" w:lineRule="auto"/>
        <w:ind w:firstLine="420" w:firstLineChars="200"/>
        <w:jc w:val="left"/>
        <w:rPr>
          <w:rFonts w:ascii="Times New Roman" w:hAnsi="Times New Roman" w:eastAsia="宋体" w:cs="Times New Roman"/>
          <w:kern w:val="0"/>
        </w:rPr>
      </w:pPr>
      <w:r>
        <w:rPr>
          <w:rFonts w:ascii="Times New Roman" w:hAnsi="Times New Roman" w:eastAsia="宋体" w:cs="Times New Roman"/>
          <w:kern w:val="0"/>
        </w:rPr>
        <w:t>1</w:t>
      </w:r>
      <w:r>
        <w:rPr>
          <w:rFonts w:hint="eastAsia" w:ascii="Times New Roman" w:hAnsi="Times New Roman" w:eastAsia="宋体" w:cs="Times New Roman"/>
          <w:kern w:val="0"/>
        </w:rPr>
        <w:t>、挤压出足量的乳膏</w:t>
      </w:r>
      <w:r>
        <w:rPr>
          <w:rFonts w:hint="eastAsia" w:ascii="Times New Roman" w:hAnsi="Times New Roman" w:eastAsia="宋体" w:cs="Times New Roman"/>
          <w:kern w:val="0"/>
          <w:lang w:eastAsia="zh-CN"/>
        </w:rPr>
        <w:t>（</w:t>
      </w:r>
      <w:r>
        <w:rPr>
          <w:rFonts w:hint="eastAsia" w:ascii="Times New Roman" w:hAnsi="Times New Roman" w:eastAsia="宋体" w:cs="Times New Roman"/>
          <w:kern w:val="0"/>
        </w:rPr>
        <w:t>大约</w:t>
      </w:r>
      <w:r>
        <w:rPr>
          <w:rFonts w:ascii="Times New Roman" w:hAnsi="Times New Roman" w:eastAsia="宋体" w:cs="Times New Roman"/>
          <w:kern w:val="0"/>
        </w:rPr>
        <w:t>2g</w:t>
      </w:r>
      <w:r>
        <w:rPr>
          <w:rFonts w:hint="eastAsia" w:ascii="Times New Roman" w:hAnsi="Times New Roman" w:eastAsia="宋体" w:cs="Times New Roman"/>
          <w:kern w:val="0"/>
        </w:rPr>
        <w:t>或半管</w:t>
      </w:r>
      <w:r>
        <w:rPr>
          <w:rFonts w:hint="eastAsia" w:ascii="Times New Roman" w:hAnsi="Times New Roman" w:eastAsia="宋体" w:cs="Times New Roman"/>
          <w:kern w:val="0"/>
          <w:lang w:eastAsia="zh-CN"/>
        </w:rPr>
        <w:t>）</w:t>
      </w:r>
      <w:r>
        <w:rPr>
          <w:rFonts w:hint="eastAsia" w:ascii="Times New Roman" w:hAnsi="Times New Roman" w:eastAsia="宋体" w:cs="Times New Roman"/>
          <w:kern w:val="0"/>
        </w:rPr>
        <w:t>涂于手术部位。</w:t>
      </w:r>
    </w:p>
    <w:p>
      <w:pPr>
        <w:autoSpaceDE w:val="0"/>
        <w:autoSpaceDN w:val="0"/>
        <w:adjustRightInd w:val="0"/>
        <w:snapToGrid w:val="0"/>
        <w:spacing w:line="360" w:lineRule="auto"/>
        <w:ind w:firstLine="420" w:firstLineChars="200"/>
        <w:jc w:val="left"/>
        <w:rPr>
          <w:rFonts w:ascii="Times New Roman" w:hAnsi="Times New Roman" w:eastAsia="宋体" w:cs="Times New Roman"/>
          <w:kern w:val="0"/>
        </w:rPr>
      </w:pPr>
      <w:r>
        <w:rPr>
          <w:rFonts w:hint="eastAsia" w:ascii="Times New Roman" w:hAnsi="Times New Roman" w:eastAsia="宋体" w:cs="Times New Roman"/>
          <w:kern w:val="0"/>
        </w:rPr>
        <w:t>注意：年龄小于</w:t>
      </w:r>
      <w:r>
        <w:rPr>
          <w:rFonts w:ascii="Times New Roman" w:hAnsi="Times New Roman" w:eastAsia="宋体" w:cs="Times New Roman"/>
          <w:kern w:val="0"/>
        </w:rPr>
        <w:t>1</w:t>
      </w:r>
      <w:r>
        <w:rPr>
          <w:rFonts w:hint="eastAsia" w:ascii="Times New Roman" w:hAnsi="Times New Roman" w:eastAsia="宋体" w:cs="Times New Roman"/>
          <w:kern w:val="0"/>
        </w:rPr>
        <w:t>岁的儿童另有说明。</w:t>
      </w:r>
    </w:p>
    <w:p>
      <w:pPr>
        <w:autoSpaceDE w:val="0"/>
        <w:autoSpaceDN w:val="0"/>
        <w:adjustRightInd w:val="0"/>
        <w:snapToGrid w:val="0"/>
        <w:spacing w:line="360" w:lineRule="auto"/>
        <w:ind w:firstLine="420" w:firstLineChars="200"/>
        <w:jc w:val="left"/>
        <w:rPr>
          <w:rFonts w:ascii="Times New Roman" w:hAnsi="Times New Roman" w:eastAsia="宋体" w:cs="Times New Roman"/>
          <w:kern w:val="0"/>
        </w:rPr>
      </w:pPr>
      <w:r>
        <w:rPr>
          <w:rFonts w:ascii="Times New Roman" w:hAnsi="Times New Roman" w:eastAsia="宋体" w:cs="Times New Roman"/>
          <w:kern w:val="0"/>
        </w:rPr>
        <w:t>2</w:t>
      </w:r>
      <w:r>
        <w:rPr>
          <w:rFonts w:hint="eastAsia" w:ascii="Times New Roman" w:hAnsi="Times New Roman" w:eastAsia="宋体" w:cs="Times New Roman"/>
          <w:kern w:val="0"/>
        </w:rPr>
        <w:t>、皮肤：</w:t>
      </w:r>
    </w:p>
    <w:p>
      <w:pPr>
        <w:autoSpaceDE w:val="0"/>
        <w:autoSpaceDN w:val="0"/>
        <w:adjustRightInd w:val="0"/>
        <w:snapToGrid w:val="0"/>
        <w:spacing w:line="360" w:lineRule="auto"/>
        <w:ind w:firstLine="420" w:firstLineChars="200"/>
        <w:jc w:val="left"/>
        <w:rPr>
          <w:rFonts w:ascii="Times New Roman" w:hAnsi="Times New Roman" w:eastAsia="宋体" w:cs="Times New Roman"/>
          <w:kern w:val="0"/>
        </w:rPr>
      </w:pPr>
      <w:r>
        <w:rPr>
          <w:rFonts w:hint="eastAsia" w:ascii="Times New Roman" w:hAnsi="Times New Roman" w:eastAsia="宋体" w:cs="Times New Roman"/>
          <w:kern w:val="0"/>
        </w:rPr>
        <w:t>拿一份包装的密封敷膜，移去中央已切割的部份。</w:t>
      </w:r>
    </w:p>
    <w:p>
      <w:pPr>
        <w:autoSpaceDE w:val="0"/>
        <w:autoSpaceDN w:val="0"/>
        <w:adjustRightInd w:val="0"/>
        <w:snapToGrid w:val="0"/>
        <w:spacing w:line="360" w:lineRule="auto"/>
        <w:ind w:firstLine="420" w:firstLineChars="200"/>
        <w:jc w:val="left"/>
        <w:rPr>
          <w:rFonts w:ascii="Times New Roman" w:hAnsi="Times New Roman" w:eastAsia="宋体" w:cs="Times New Roman"/>
          <w:kern w:val="0"/>
        </w:rPr>
      </w:pPr>
      <w:r>
        <w:rPr>
          <w:rFonts w:hint="eastAsia" w:ascii="Times New Roman" w:hAnsi="Times New Roman" w:eastAsia="宋体" w:cs="Times New Roman"/>
          <w:kern w:val="0"/>
        </w:rPr>
        <w:t>拉开敷膜内的纸衬。</w:t>
      </w:r>
    </w:p>
    <w:p>
      <w:pPr>
        <w:autoSpaceDE w:val="0"/>
        <w:autoSpaceDN w:val="0"/>
        <w:adjustRightInd w:val="0"/>
        <w:snapToGrid w:val="0"/>
        <w:spacing w:line="360" w:lineRule="auto"/>
        <w:ind w:firstLine="420" w:firstLineChars="200"/>
        <w:jc w:val="left"/>
        <w:rPr>
          <w:rFonts w:ascii="Times New Roman" w:hAnsi="Times New Roman" w:eastAsia="宋体" w:cs="Times New Roman"/>
          <w:kern w:val="0"/>
        </w:rPr>
      </w:pPr>
      <w:r>
        <w:rPr>
          <w:rFonts w:ascii="Times New Roman" w:hAnsi="Times New Roman" w:eastAsia="宋体" w:cs="Times New Roman"/>
          <w:kern w:val="0"/>
        </w:rPr>
        <w:t>3</w:t>
      </w:r>
      <w:r>
        <w:rPr>
          <w:rFonts w:hint="eastAsia" w:ascii="Times New Roman" w:hAnsi="Times New Roman" w:eastAsia="宋体" w:cs="Times New Roman"/>
          <w:kern w:val="0"/>
        </w:rPr>
        <w:t>、将敷膜覆盖在乳膏上，以便敷膜下面有一层厚厚的乳膏。不要涂开乳膏。小心地压平敷膜边缘，以免乳膏漏出。</w:t>
      </w:r>
    </w:p>
    <w:p>
      <w:pPr>
        <w:autoSpaceDE w:val="0"/>
        <w:autoSpaceDN w:val="0"/>
        <w:adjustRightInd w:val="0"/>
        <w:snapToGrid w:val="0"/>
        <w:spacing w:line="360" w:lineRule="auto"/>
        <w:ind w:firstLine="420" w:firstLineChars="200"/>
        <w:jc w:val="left"/>
        <w:rPr>
          <w:rFonts w:ascii="Times New Roman" w:hAnsi="Times New Roman" w:eastAsia="宋体" w:cs="Times New Roman"/>
          <w:kern w:val="0"/>
        </w:rPr>
      </w:pPr>
      <w:r>
        <w:rPr>
          <w:rFonts w:ascii="Times New Roman" w:hAnsi="Times New Roman" w:eastAsia="宋体" w:cs="Times New Roman"/>
          <w:kern w:val="0"/>
        </w:rPr>
        <w:t>4</w:t>
      </w:r>
      <w:r>
        <w:rPr>
          <w:rFonts w:hint="eastAsia" w:ascii="Times New Roman" w:hAnsi="Times New Roman" w:eastAsia="宋体" w:cs="Times New Roman"/>
          <w:kern w:val="0"/>
        </w:rPr>
        <w:t>、除去敷膜表面上的纸边，使用开始时间可直接写在敷膜上。</w:t>
      </w:r>
    </w:p>
    <w:p>
      <w:pPr>
        <w:autoSpaceDE w:val="0"/>
        <w:autoSpaceDN w:val="0"/>
        <w:adjustRightInd w:val="0"/>
        <w:snapToGrid w:val="0"/>
        <w:spacing w:line="360" w:lineRule="auto"/>
        <w:ind w:firstLine="420" w:firstLineChars="200"/>
        <w:jc w:val="left"/>
        <w:rPr>
          <w:rFonts w:ascii="Times New Roman" w:hAnsi="Times New Roman" w:eastAsia="宋体" w:cs="Times New Roman"/>
          <w:kern w:val="0"/>
        </w:rPr>
      </w:pPr>
      <w:r>
        <w:rPr>
          <w:rFonts w:hint="eastAsia" w:ascii="Times New Roman" w:hAnsi="Times New Roman" w:eastAsia="宋体" w:cs="Times New Roman"/>
          <w:kern w:val="0"/>
        </w:rPr>
        <w:t>注意：乳膏在手术开始前必须使用至少</w:t>
      </w:r>
      <w:r>
        <w:rPr>
          <w:rFonts w:ascii="Times New Roman" w:hAnsi="Times New Roman" w:eastAsia="宋体" w:cs="Times New Roman"/>
          <w:kern w:val="0"/>
        </w:rPr>
        <w:t>1</w:t>
      </w:r>
      <w:r>
        <w:rPr>
          <w:rFonts w:hint="eastAsia" w:ascii="Times New Roman" w:hAnsi="Times New Roman" w:eastAsia="宋体" w:cs="Times New Roman"/>
          <w:kern w:val="0"/>
        </w:rPr>
        <w:t>个小时以上，也可保留数小时以维持作用。</w:t>
      </w:r>
    </w:p>
    <w:p>
      <w:pPr>
        <w:autoSpaceDE w:val="0"/>
        <w:autoSpaceDN w:val="0"/>
        <w:adjustRightInd w:val="0"/>
        <w:snapToGrid w:val="0"/>
        <w:spacing w:line="360" w:lineRule="auto"/>
        <w:ind w:firstLine="420" w:firstLineChars="200"/>
        <w:jc w:val="left"/>
        <w:rPr>
          <w:rFonts w:ascii="Times New Roman" w:hAnsi="Times New Roman" w:eastAsia="宋体" w:cs="Times New Roman"/>
          <w:kern w:val="0"/>
        </w:rPr>
      </w:pPr>
      <w:r>
        <w:rPr>
          <w:rFonts w:ascii="Times New Roman" w:hAnsi="Times New Roman" w:eastAsia="宋体" w:cs="Times New Roman"/>
          <w:kern w:val="0"/>
        </w:rPr>
        <w:t>5</w:t>
      </w:r>
      <w:r>
        <w:rPr>
          <w:rFonts w:hint="eastAsia" w:ascii="Times New Roman" w:hAnsi="Times New Roman" w:eastAsia="宋体" w:cs="Times New Roman"/>
          <w:kern w:val="0"/>
        </w:rPr>
        <w:t>、拿掉敷膜，擦净乳膏，用酒精清洗整个敷药部位，准备病人手术。</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6"/>
        <w:gridCol w:w="3097"/>
        <w:gridCol w:w="34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表面</w:t>
            </w:r>
          </w:p>
        </w:tc>
        <w:tc>
          <w:tcPr>
            <w:tcW w:w="181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手术</w:t>
            </w:r>
          </w:p>
        </w:tc>
        <w:tc>
          <w:tcPr>
            <w:tcW w:w="200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皮肤</w:t>
            </w:r>
          </w:p>
        </w:tc>
        <w:tc>
          <w:tcPr>
            <w:tcW w:w="181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宋体" w:cs="Times New Roman"/>
                <w:szCs w:val="21"/>
              </w:rPr>
            </w:pPr>
          </w:p>
        </w:tc>
        <w:tc>
          <w:tcPr>
            <w:tcW w:w="200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宋体" w:cs="Times New Roman"/>
                <w:szCs w:val="21"/>
              </w:rPr>
            </w:pPr>
            <w:r>
              <w:rPr>
                <w:rFonts w:hint="eastAsia" w:ascii="Times New Roman" w:hAnsi="Times New Roman" w:eastAsia="宋体" w:cs="Times New Roman"/>
                <w:szCs w:val="21"/>
              </w:rPr>
              <w:t>皮肤表面涂上一层厚厚的乳膏，上盖一密封的敷料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成人</w:t>
            </w:r>
          </w:p>
        </w:tc>
        <w:tc>
          <w:tcPr>
            <w:tcW w:w="181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宋体" w:cs="Times New Roman"/>
                <w:szCs w:val="21"/>
              </w:rPr>
            </w:pPr>
          </w:p>
        </w:tc>
        <w:tc>
          <w:tcPr>
            <w:tcW w:w="200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宋体" w:cs="Times New Roman"/>
                <w:szCs w:val="21"/>
              </w:rPr>
            </w:pPr>
            <w:r>
              <w:rPr>
                <w:rFonts w:hint="eastAsia" w:ascii="Times New Roman" w:hAnsi="Times New Roman" w:eastAsia="宋体" w:cs="Times New Roman"/>
                <w:szCs w:val="21"/>
              </w:rPr>
              <w:t>大约</w:t>
            </w:r>
            <w:r>
              <w:rPr>
                <w:rFonts w:ascii="Times New Roman" w:hAnsi="Times New Roman" w:eastAsia="宋体" w:cs="Times New Roman"/>
                <w:szCs w:val="21"/>
              </w:rPr>
              <w:t>1.5g/10cm</w:t>
            </w:r>
            <w:r>
              <w:rPr>
                <w:rFonts w:ascii="Times New Roman" w:hAnsi="Times New Roman" w:eastAsia="宋体" w:cs="Times New Roman"/>
                <w:szCs w:val="21"/>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宋体" w:cs="Times New Roman"/>
                <w:szCs w:val="21"/>
              </w:rPr>
            </w:pPr>
          </w:p>
        </w:tc>
        <w:tc>
          <w:tcPr>
            <w:tcW w:w="181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宋体" w:cs="Times New Roman"/>
                <w:szCs w:val="21"/>
              </w:rPr>
            </w:pPr>
            <w:r>
              <w:rPr>
                <w:rFonts w:hint="eastAsia" w:ascii="Times New Roman" w:hAnsi="Times New Roman" w:eastAsia="宋体" w:cs="Times New Roman"/>
                <w:szCs w:val="21"/>
              </w:rPr>
              <w:t>小手术，例：</w:t>
            </w:r>
          </w:p>
          <w:p>
            <w:pPr>
              <w:adjustRightInd w:val="0"/>
              <w:snapToGrid w:val="0"/>
              <w:jc w:val="left"/>
              <w:rPr>
                <w:rFonts w:ascii="Times New Roman" w:hAnsi="Times New Roman" w:eastAsia="宋体" w:cs="Times New Roman"/>
                <w:szCs w:val="21"/>
              </w:rPr>
            </w:pPr>
            <w:r>
              <w:rPr>
                <w:rFonts w:hint="eastAsia" w:ascii="Times New Roman" w:hAnsi="Times New Roman" w:eastAsia="宋体" w:cs="Times New Roman"/>
                <w:szCs w:val="21"/>
              </w:rPr>
              <w:t>针穿刺和局部损伤的外科治疗</w:t>
            </w:r>
          </w:p>
        </w:tc>
        <w:tc>
          <w:tcPr>
            <w:tcW w:w="200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宋体" w:cs="Times New Roman"/>
                <w:szCs w:val="21"/>
              </w:rPr>
            </w:pPr>
            <w:r>
              <w:rPr>
                <w:rFonts w:hint="eastAsia" w:ascii="Times New Roman" w:hAnsi="Times New Roman" w:eastAsia="宋体" w:cs="Times New Roman"/>
                <w:szCs w:val="21"/>
              </w:rPr>
              <w:t>大约</w:t>
            </w:r>
            <w:r>
              <w:rPr>
                <w:rFonts w:ascii="Times New Roman" w:hAnsi="Times New Roman" w:eastAsia="宋体" w:cs="Times New Roman"/>
                <w:szCs w:val="21"/>
              </w:rPr>
              <w:t>2g</w:t>
            </w:r>
            <w:r>
              <w:rPr>
                <w:rFonts w:hint="eastAsia" w:ascii="Times New Roman" w:hAnsi="Times New Roman" w:eastAsia="宋体" w:cs="Times New Roman"/>
                <w:szCs w:val="21"/>
              </w:rPr>
              <w:t>，敷药时间至少</w:t>
            </w:r>
            <w:r>
              <w:rPr>
                <w:rFonts w:ascii="Times New Roman" w:hAnsi="Times New Roman" w:eastAsia="宋体" w:cs="Times New Roman"/>
                <w:szCs w:val="21"/>
              </w:rPr>
              <w:t>1</w:t>
            </w:r>
            <w:r>
              <w:rPr>
                <w:rFonts w:hint="eastAsia" w:ascii="Times New Roman" w:hAnsi="Times New Roman" w:eastAsia="宋体" w:cs="Times New Roman"/>
                <w:szCs w:val="21"/>
              </w:rPr>
              <w:t>小时，最长</w:t>
            </w:r>
            <w:r>
              <w:rPr>
                <w:rFonts w:ascii="Times New Roman" w:hAnsi="Times New Roman" w:eastAsia="宋体" w:cs="Times New Roman"/>
                <w:szCs w:val="21"/>
              </w:rPr>
              <w:t>5</w:t>
            </w:r>
            <w:r>
              <w:rPr>
                <w:rFonts w:hint="eastAsia" w:ascii="Times New Roman" w:hAnsi="Times New Roman" w:eastAsia="宋体" w:cs="Times New Roman"/>
                <w:szCs w:val="21"/>
              </w:rPr>
              <w:t>小时</w:t>
            </w:r>
            <w:r>
              <w:rPr>
                <w:rFonts w:ascii="Times New Roman" w:hAnsi="Times New Roman" w:eastAsia="宋体" w:cs="Times New Roman"/>
                <w:szCs w:val="21"/>
                <w:vertAlign w:val="superscript"/>
              </w:rPr>
              <w:t>1</w:t>
            </w:r>
            <w:r>
              <w:rPr>
                <w:rFonts w:hint="eastAsia" w:ascii="Times New Roman" w:hAnsi="Times New Roman" w:eastAsia="宋体" w:cs="Times New Roman"/>
                <w:szCs w:val="21"/>
                <w:vertAlign w:val="superscript"/>
              </w:rPr>
              <w:t>）</w:t>
            </w:r>
            <w:r>
              <w:rPr>
                <w:rFonts w:hint="eastAsia" w:ascii="Times New Roman" w:hAnsi="Times New Roman" w:eastAsia="宋体" w:cs="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宋体" w:cs="Times New Roman"/>
                <w:szCs w:val="21"/>
              </w:rPr>
            </w:pPr>
          </w:p>
        </w:tc>
        <w:tc>
          <w:tcPr>
            <w:tcW w:w="181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宋体" w:cs="Times New Roman"/>
                <w:szCs w:val="21"/>
              </w:rPr>
            </w:pPr>
            <w:r>
              <w:rPr>
                <w:rFonts w:hint="eastAsia" w:ascii="Times New Roman" w:hAnsi="Times New Roman" w:eastAsia="宋体" w:cs="Times New Roman"/>
                <w:szCs w:val="21"/>
              </w:rPr>
              <w:t>大面积皮肤手术，如：分层皮移植术</w:t>
            </w:r>
          </w:p>
        </w:tc>
        <w:tc>
          <w:tcPr>
            <w:tcW w:w="200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宋体" w:cs="Times New Roman"/>
                <w:szCs w:val="21"/>
              </w:rPr>
            </w:pPr>
            <w:r>
              <w:rPr>
                <w:rFonts w:hint="eastAsia" w:ascii="Times New Roman" w:hAnsi="Times New Roman" w:eastAsia="宋体" w:cs="Times New Roman"/>
                <w:szCs w:val="21"/>
              </w:rPr>
              <w:t>大约</w:t>
            </w:r>
            <w:r>
              <w:rPr>
                <w:rFonts w:ascii="Times New Roman" w:hAnsi="Times New Roman" w:eastAsia="宋体" w:cs="Times New Roman"/>
                <w:szCs w:val="21"/>
              </w:rPr>
              <w:t>1.5-2g/10cm</w:t>
            </w:r>
            <w:r>
              <w:rPr>
                <w:rFonts w:ascii="Times New Roman" w:hAnsi="Times New Roman" w:eastAsia="宋体" w:cs="Times New Roman"/>
                <w:szCs w:val="21"/>
                <w:vertAlign w:val="superscript"/>
              </w:rPr>
              <w:t>2</w:t>
            </w:r>
            <w:r>
              <w:rPr>
                <w:rFonts w:hint="eastAsia" w:ascii="Times New Roman" w:hAnsi="Times New Roman" w:eastAsia="宋体" w:cs="Times New Roman"/>
                <w:szCs w:val="21"/>
              </w:rPr>
              <w:t>，敷药时间至少</w:t>
            </w:r>
            <w:r>
              <w:rPr>
                <w:rFonts w:ascii="Times New Roman" w:hAnsi="Times New Roman" w:eastAsia="宋体" w:cs="Times New Roman"/>
                <w:szCs w:val="21"/>
              </w:rPr>
              <w:t>2</w:t>
            </w:r>
            <w:r>
              <w:rPr>
                <w:rFonts w:hint="eastAsia" w:ascii="Times New Roman" w:hAnsi="Times New Roman" w:eastAsia="宋体" w:cs="Times New Roman"/>
                <w:szCs w:val="21"/>
              </w:rPr>
              <w:t>小时，最长</w:t>
            </w:r>
            <w:r>
              <w:rPr>
                <w:rFonts w:ascii="Times New Roman" w:hAnsi="Times New Roman" w:eastAsia="宋体" w:cs="Times New Roman"/>
                <w:szCs w:val="21"/>
              </w:rPr>
              <w:t>5</w:t>
            </w:r>
            <w:r>
              <w:rPr>
                <w:rFonts w:hint="eastAsia" w:ascii="Times New Roman" w:hAnsi="Times New Roman" w:eastAsia="宋体" w:cs="Times New Roman"/>
                <w:szCs w:val="21"/>
              </w:rPr>
              <w:t>小时</w:t>
            </w:r>
            <w:r>
              <w:rPr>
                <w:rFonts w:ascii="Times New Roman" w:hAnsi="Times New Roman" w:eastAsia="宋体" w:cs="Times New Roman"/>
                <w:szCs w:val="21"/>
                <w:vertAlign w:val="superscript"/>
              </w:rPr>
              <w:t>1</w:t>
            </w:r>
            <w:r>
              <w:rPr>
                <w:rFonts w:hint="eastAsia" w:ascii="Times New Roman" w:hAnsi="Times New Roman" w:eastAsia="宋体" w:cs="Times New Roman"/>
                <w:szCs w:val="21"/>
                <w:vertAlign w:val="superscript"/>
              </w:rPr>
              <w:t>）</w:t>
            </w:r>
            <w:r>
              <w:rPr>
                <w:rFonts w:hint="eastAsia" w:ascii="Times New Roman" w:hAnsi="Times New Roman" w:eastAsia="宋体" w:cs="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7" w:type="pct"/>
            <w:tcBorders>
              <w:top w:val="single" w:color="auto" w:sz="4" w:space="0"/>
              <w:left w:val="single" w:color="auto" w:sz="4" w:space="0"/>
              <w:bottom w:val="single" w:color="auto" w:sz="4" w:space="0"/>
              <w:right w:val="single" w:color="auto" w:sz="4" w:space="0"/>
            </w:tcBorders>
          </w:tcPr>
          <w:p>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儿童</w:t>
            </w:r>
          </w:p>
          <w:p>
            <w:pPr>
              <w:adjustRightInd w:val="0"/>
              <w:snapToGrid w:val="0"/>
              <w:jc w:val="center"/>
              <w:rPr>
                <w:rFonts w:ascii="Times New Roman" w:hAnsi="Times New Roman" w:eastAsia="宋体" w:cs="Times New Roman"/>
                <w:szCs w:val="21"/>
              </w:rPr>
            </w:pPr>
          </w:p>
          <w:p>
            <w:pPr>
              <w:adjustRightInd w:val="0"/>
              <w:snapToGrid w:val="0"/>
              <w:jc w:val="center"/>
              <w:rPr>
                <w:rFonts w:ascii="Times New Roman" w:hAnsi="Times New Roman" w:eastAsia="宋体" w:cs="Times New Roman"/>
                <w:szCs w:val="21"/>
              </w:rPr>
            </w:pPr>
          </w:p>
          <w:p>
            <w:pPr>
              <w:adjustRightInd w:val="0"/>
              <w:snapToGrid w:val="0"/>
              <w:jc w:val="center"/>
              <w:rPr>
                <w:rFonts w:hint="eastAsia" w:ascii="Times New Roman" w:hAnsi="Times New Roman" w:eastAsia="宋体" w:cs="Times New Roman"/>
                <w:szCs w:val="21"/>
                <w:vertAlign w:val="superscript"/>
                <w:lang w:eastAsia="zh-CN"/>
              </w:rPr>
            </w:pPr>
            <w:r>
              <w:rPr>
                <w:rFonts w:hint="eastAsia" w:ascii="Times New Roman" w:hAnsi="Times New Roman" w:eastAsia="宋体" w:cs="Times New Roman"/>
                <w:szCs w:val="21"/>
              </w:rPr>
              <w:t>新生儿</w:t>
            </w:r>
            <w:r>
              <w:rPr>
                <w:rFonts w:ascii="Times New Roman" w:hAnsi="Times New Roman" w:eastAsia="宋体" w:cs="Times New Roman"/>
                <w:szCs w:val="21"/>
              </w:rPr>
              <w:t>0~2</w:t>
            </w:r>
            <w:r>
              <w:rPr>
                <w:rFonts w:hint="eastAsia" w:ascii="Times New Roman" w:hAnsi="Times New Roman" w:eastAsia="宋体" w:cs="Times New Roman"/>
                <w:szCs w:val="21"/>
              </w:rPr>
              <w:t>个月</w:t>
            </w:r>
            <w:r>
              <w:rPr>
                <w:rFonts w:ascii="Times New Roman" w:hAnsi="Times New Roman" w:eastAsia="宋体" w:cs="Times New Roman"/>
                <w:szCs w:val="21"/>
              </w:rPr>
              <w:t xml:space="preserve"> </w:t>
            </w:r>
            <w:r>
              <w:rPr>
                <w:rFonts w:ascii="Times New Roman" w:hAnsi="Times New Roman" w:eastAsia="宋体" w:cs="Times New Roman"/>
                <w:szCs w:val="21"/>
                <w:vertAlign w:val="superscript"/>
              </w:rPr>
              <w:t>3</w:t>
            </w:r>
            <w:r>
              <w:rPr>
                <w:rFonts w:hint="eastAsia" w:ascii="Times New Roman" w:hAnsi="Times New Roman" w:eastAsia="宋体" w:cs="Times New Roman"/>
                <w:szCs w:val="21"/>
                <w:vertAlign w:val="superscript"/>
                <w:lang w:eastAsia="zh-CN"/>
              </w:rPr>
              <w:t>）</w:t>
            </w:r>
          </w:p>
          <w:p>
            <w:pPr>
              <w:adjustRightInd w:val="0"/>
              <w:snapToGrid w:val="0"/>
              <w:jc w:val="center"/>
              <w:rPr>
                <w:rFonts w:ascii="Times New Roman" w:hAnsi="Times New Roman" w:eastAsia="宋体" w:cs="Times New Roman"/>
                <w:szCs w:val="21"/>
              </w:rPr>
            </w:pPr>
          </w:p>
          <w:p>
            <w:pPr>
              <w:adjustRightInd w:val="0"/>
              <w:snapToGrid w:val="0"/>
              <w:jc w:val="center"/>
              <w:rPr>
                <w:rFonts w:hint="eastAsia" w:ascii="Times New Roman" w:hAnsi="Times New Roman" w:eastAsia="宋体" w:cs="Times New Roman"/>
                <w:szCs w:val="21"/>
                <w:vertAlign w:val="superscript"/>
                <w:lang w:eastAsia="zh-CN"/>
              </w:rPr>
            </w:pPr>
            <w:r>
              <w:rPr>
                <w:rFonts w:hint="eastAsia" w:ascii="Times New Roman" w:hAnsi="Times New Roman" w:eastAsia="宋体" w:cs="Times New Roman"/>
                <w:szCs w:val="21"/>
              </w:rPr>
              <w:t>婴儿</w:t>
            </w:r>
            <w:r>
              <w:rPr>
                <w:rFonts w:ascii="Times New Roman" w:hAnsi="Times New Roman" w:eastAsia="宋体" w:cs="Times New Roman"/>
                <w:szCs w:val="21"/>
              </w:rPr>
              <w:t>3~11</w:t>
            </w:r>
            <w:r>
              <w:rPr>
                <w:rFonts w:hint="eastAsia" w:ascii="Times New Roman" w:hAnsi="Times New Roman" w:eastAsia="宋体" w:cs="Times New Roman"/>
                <w:szCs w:val="21"/>
              </w:rPr>
              <w:t>个月</w:t>
            </w:r>
            <w:r>
              <w:rPr>
                <w:rFonts w:ascii="Times New Roman" w:hAnsi="Times New Roman" w:eastAsia="宋体" w:cs="Times New Roman"/>
                <w:szCs w:val="21"/>
              </w:rPr>
              <w:t xml:space="preserve"> </w:t>
            </w:r>
            <w:r>
              <w:rPr>
                <w:rFonts w:ascii="Times New Roman" w:hAnsi="Times New Roman" w:eastAsia="宋体" w:cs="Times New Roman"/>
                <w:szCs w:val="21"/>
                <w:vertAlign w:val="superscript"/>
              </w:rPr>
              <w:t xml:space="preserve"> 3</w:t>
            </w:r>
            <w:r>
              <w:rPr>
                <w:rFonts w:hint="eastAsia" w:ascii="Times New Roman" w:hAnsi="Times New Roman" w:eastAsia="宋体" w:cs="Times New Roman"/>
                <w:szCs w:val="21"/>
                <w:vertAlign w:val="superscript"/>
                <w:lang w:eastAsia="zh-CN"/>
              </w:rPr>
              <w:t>）</w:t>
            </w:r>
          </w:p>
          <w:p>
            <w:pPr>
              <w:adjustRightInd w:val="0"/>
              <w:snapToGrid w:val="0"/>
              <w:jc w:val="center"/>
              <w:rPr>
                <w:rFonts w:ascii="Times New Roman" w:hAnsi="Times New Roman" w:eastAsia="宋体" w:cs="Times New Roman"/>
                <w:szCs w:val="21"/>
              </w:rPr>
            </w:pPr>
          </w:p>
          <w:p>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儿童</w:t>
            </w:r>
            <w:r>
              <w:rPr>
                <w:rFonts w:ascii="Times New Roman" w:hAnsi="Times New Roman" w:eastAsia="宋体" w:cs="Times New Roman"/>
                <w:szCs w:val="21"/>
              </w:rPr>
              <w:t>1~5</w:t>
            </w:r>
            <w:r>
              <w:rPr>
                <w:rFonts w:hint="eastAsia" w:ascii="Times New Roman" w:hAnsi="Times New Roman" w:eastAsia="宋体" w:cs="Times New Roman"/>
                <w:szCs w:val="21"/>
              </w:rPr>
              <w:t>岁</w:t>
            </w:r>
          </w:p>
          <w:p>
            <w:pPr>
              <w:adjustRightInd w:val="0"/>
              <w:snapToGrid w:val="0"/>
              <w:jc w:val="center"/>
              <w:rPr>
                <w:rFonts w:ascii="Times New Roman" w:hAnsi="Times New Roman" w:eastAsia="宋体" w:cs="Times New Roman"/>
                <w:szCs w:val="21"/>
              </w:rPr>
            </w:pPr>
          </w:p>
          <w:p>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儿童</w:t>
            </w:r>
            <w:r>
              <w:rPr>
                <w:rFonts w:ascii="Times New Roman" w:hAnsi="Times New Roman" w:eastAsia="宋体" w:cs="Times New Roman"/>
                <w:szCs w:val="21"/>
              </w:rPr>
              <w:t>6~11</w:t>
            </w:r>
            <w:r>
              <w:rPr>
                <w:rFonts w:hint="eastAsia" w:ascii="Times New Roman" w:hAnsi="Times New Roman" w:eastAsia="宋体" w:cs="Times New Roman"/>
                <w:szCs w:val="21"/>
              </w:rPr>
              <w:t>岁</w:t>
            </w:r>
          </w:p>
        </w:tc>
        <w:tc>
          <w:tcPr>
            <w:tcW w:w="1817" w:type="pct"/>
            <w:tcBorders>
              <w:top w:val="single" w:color="auto" w:sz="4" w:space="0"/>
              <w:left w:val="single" w:color="auto" w:sz="4" w:space="0"/>
              <w:bottom w:val="single" w:color="auto" w:sz="4" w:space="0"/>
              <w:right w:val="single" w:color="auto" w:sz="4" w:space="0"/>
            </w:tcBorders>
          </w:tcPr>
          <w:p>
            <w:pPr>
              <w:adjustRightInd w:val="0"/>
              <w:snapToGrid w:val="0"/>
              <w:jc w:val="left"/>
              <w:rPr>
                <w:rFonts w:ascii="Times New Roman" w:hAnsi="Times New Roman" w:eastAsia="宋体" w:cs="Times New Roman"/>
                <w:szCs w:val="21"/>
              </w:rPr>
            </w:pPr>
            <w:r>
              <w:rPr>
                <w:rFonts w:hint="eastAsia" w:ascii="Times New Roman" w:hAnsi="Times New Roman" w:eastAsia="宋体" w:cs="Times New Roman"/>
                <w:szCs w:val="21"/>
              </w:rPr>
              <w:t>小手术，例：</w:t>
            </w:r>
          </w:p>
          <w:p>
            <w:pPr>
              <w:adjustRightInd w:val="0"/>
              <w:snapToGrid w:val="0"/>
              <w:jc w:val="left"/>
              <w:rPr>
                <w:rFonts w:ascii="Times New Roman" w:hAnsi="Times New Roman" w:eastAsia="宋体" w:cs="Times New Roman"/>
                <w:szCs w:val="21"/>
              </w:rPr>
            </w:pPr>
            <w:r>
              <w:rPr>
                <w:rFonts w:hint="eastAsia" w:ascii="Times New Roman" w:hAnsi="Times New Roman" w:eastAsia="宋体" w:cs="Times New Roman"/>
                <w:szCs w:val="21"/>
              </w:rPr>
              <w:t>针穿刺和局部损伤的外科治疗</w:t>
            </w:r>
          </w:p>
        </w:tc>
        <w:tc>
          <w:tcPr>
            <w:tcW w:w="2006" w:type="pct"/>
            <w:tcBorders>
              <w:top w:val="single" w:color="auto" w:sz="4" w:space="0"/>
              <w:left w:val="single" w:color="auto" w:sz="4" w:space="0"/>
              <w:bottom w:val="single" w:color="auto" w:sz="4" w:space="0"/>
              <w:right w:val="single" w:color="auto" w:sz="4" w:space="0"/>
            </w:tcBorders>
          </w:tcPr>
          <w:p>
            <w:pPr>
              <w:adjustRightInd w:val="0"/>
              <w:snapToGrid w:val="0"/>
              <w:jc w:val="left"/>
              <w:rPr>
                <w:rFonts w:ascii="Times New Roman" w:hAnsi="Times New Roman" w:eastAsia="宋体" w:cs="Times New Roman"/>
                <w:szCs w:val="21"/>
              </w:rPr>
            </w:pPr>
            <w:r>
              <w:rPr>
                <w:rFonts w:hint="eastAsia" w:ascii="Times New Roman" w:hAnsi="Times New Roman" w:eastAsia="宋体" w:cs="Times New Roman"/>
                <w:szCs w:val="21"/>
              </w:rPr>
              <w:t>敷药面积约</w:t>
            </w:r>
            <w:r>
              <w:rPr>
                <w:rFonts w:ascii="Times New Roman" w:hAnsi="Times New Roman" w:eastAsia="宋体" w:cs="Times New Roman"/>
                <w:szCs w:val="21"/>
              </w:rPr>
              <w:t>1.0g/10cm</w:t>
            </w:r>
            <w:r>
              <w:rPr>
                <w:rFonts w:ascii="Times New Roman" w:hAnsi="Times New Roman" w:eastAsia="宋体" w:cs="Times New Roman"/>
                <w:szCs w:val="21"/>
                <w:vertAlign w:val="superscript"/>
              </w:rPr>
              <w:t>2</w:t>
            </w:r>
            <w:r>
              <w:rPr>
                <w:rFonts w:hint="eastAsia" w:ascii="Times New Roman" w:hAnsi="Times New Roman" w:eastAsia="宋体" w:cs="Times New Roman"/>
                <w:szCs w:val="21"/>
              </w:rPr>
              <w:t>，敷药时间约</w:t>
            </w:r>
            <w:r>
              <w:rPr>
                <w:rFonts w:ascii="Times New Roman" w:hAnsi="Times New Roman" w:eastAsia="宋体" w:cs="Times New Roman"/>
                <w:szCs w:val="21"/>
              </w:rPr>
              <w:t>1</w:t>
            </w:r>
            <w:r>
              <w:rPr>
                <w:rFonts w:hint="eastAsia" w:ascii="Times New Roman" w:hAnsi="Times New Roman" w:eastAsia="宋体" w:cs="Times New Roman"/>
                <w:szCs w:val="21"/>
              </w:rPr>
              <w:t>小时。</w:t>
            </w:r>
          </w:p>
          <w:p>
            <w:pPr>
              <w:adjustRightInd w:val="0"/>
              <w:snapToGrid w:val="0"/>
              <w:jc w:val="left"/>
              <w:rPr>
                <w:rFonts w:ascii="Times New Roman" w:hAnsi="Times New Roman" w:eastAsia="宋体" w:cs="Times New Roman"/>
                <w:szCs w:val="21"/>
              </w:rPr>
            </w:pPr>
          </w:p>
          <w:p>
            <w:pPr>
              <w:adjustRightInd w:val="0"/>
              <w:snapToGrid w:val="0"/>
              <w:jc w:val="left"/>
              <w:rPr>
                <w:rFonts w:hint="eastAsia" w:ascii="Times New Roman" w:hAnsi="Times New Roman" w:eastAsia="宋体" w:cs="Times New Roman"/>
                <w:szCs w:val="21"/>
                <w:lang w:val="sv-SE" w:eastAsia="zh-CN"/>
              </w:rPr>
            </w:pPr>
            <w:r>
              <w:rPr>
                <w:rFonts w:hint="eastAsia" w:ascii="Times New Roman" w:hAnsi="Times New Roman" w:eastAsia="宋体" w:cs="Times New Roman"/>
                <w:szCs w:val="21"/>
              </w:rPr>
              <w:t>最多</w:t>
            </w:r>
            <w:r>
              <w:rPr>
                <w:rFonts w:ascii="Times New Roman" w:hAnsi="Times New Roman" w:eastAsia="宋体" w:cs="Times New Roman"/>
                <w:szCs w:val="21"/>
                <w:lang w:val="sv-SE"/>
              </w:rPr>
              <w:t>1.0g</w:t>
            </w:r>
            <w:r>
              <w:rPr>
                <w:rFonts w:hint="eastAsia" w:ascii="Times New Roman" w:hAnsi="Times New Roman" w:eastAsia="宋体" w:cs="Times New Roman"/>
                <w:szCs w:val="21"/>
              </w:rPr>
              <w:t>和</w:t>
            </w:r>
            <w:r>
              <w:rPr>
                <w:rFonts w:ascii="Times New Roman" w:hAnsi="Times New Roman" w:eastAsia="宋体" w:cs="Times New Roman"/>
                <w:szCs w:val="21"/>
                <w:lang w:val="sv-SE"/>
              </w:rPr>
              <w:t>10cm</w:t>
            </w:r>
            <w:r>
              <w:rPr>
                <w:rFonts w:ascii="Times New Roman" w:hAnsi="Times New Roman" w:eastAsia="宋体" w:cs="Times New Roman"/>
                <w:szCs w:val="21"/>
                <w:vertAlign w:val="superscript"/>
                <w:lang w:val="sv-SE"/>
              </w:rPr>
              <w:t>2  2</w:t>
            </w:r>
            <w:r>
              <w:rPr>
                <w:rFonts w:hint="eastAsia" w:ascii="Times New Roman" w:hAnsi="Times New Roman" w:eastAsia="宋体" w:cs="Times New Roman"/>
                <w:szCs w:val="21"/>
                <w:vertAlign w:val="superscript"/>
                <w:lang w:val="sv-SE" w:eastAsia="zh-CN"/>
              </w:rPr>
              <w:t>）</w:t>
            </w:r>
          </w:p>
          <w:p>
            <w:pPr>
              <w:tabs>
                <w:tab w:val="left" w:pos="2260"/>
              </w:tabs>
              <w:adjustRightInd w:val="0"/>
              <w:snapToGrid w:val="0"/>
              <w:jc w:val="left"/>
              <w:rPr>
                <w:rFonts w:ascii="Times New Roman" w:hAnsi="Times New Roman" w:eastAsia="宋体" w:cs="Times New Roman"/>
                <w:szCs w:val="21"/>
              </w:rPr>
            </w:pPr>
          </w:p>
          <w:p>
            <w:pPr>
              <w:tabs>
                <w:tab w:val="left" w:pos="2260"/>
              </w:tabs>
              <w:adjustRightInd w:val="0"/>
              <w:snapToGrid w:val="0"/>
              <w:jc w:val="left"/>
              <w:rPr>
                <w:rFonts w:hint="eastAsia" w:ascii="Times New Roman" w:hAnsi="Times New Roman" w:eastAsia="宋体" w:cs="Times New Roman"/>
                <w:szCs w:val="21"/>
                <w:vertAlign w:val="superscript"/>
                <w:lang w:val="sv-SE" w:eastAsia="zh-CN"/>
              </w:rPr>
            </w:pPr>
            <w:r>
              <w:rPr>
                <w:rFonts w:hint="eastAsia" w:ascii="Times New Roman" w:hAnsi="Times New Roman" w:eastAsia="宋体" w:cs="Times New Roman"/>
                <w:szCs w:val="21"/>
              </w:rPr>
              <w:t>最多</w:t>
            </w:r>
            <w:r>
              <w:rPr>
                <w:rFonts w:ascii="Times New Roman" w:hAnsi="Times New Roman" w:eastAsia="宋体" w:cs="Times New Roman"/>
                <w:szCs w:val="21"/>
                <w:lang w:val="sv-SE"/>
              </w:rPr>
              <w:t>2.0g</w:t>
            </w:r>
            <w:r>
              <w:rPr>
                <w:rFonts w:hint="eastAsia" w:ascii="Times New Roman" w:hAnsi="Times New Roman" w:eastAsia="宋体" w:cs="Times New Roman"/>
                <w:szCs w:val="21"/>
              </w:rPr>
              <w:t>和</w:t>
            </w:r>
            <w:r>
              <w:rPr>
                <w:rFonts w:ascii="Times New Roman" w:hAnsi="Times New Roman" w:eastAsia="宋体" w:cs="Times New Roman"/>
                <w:szCs w:val="21"/>
                <w:lang w:val="sv-SE"/>
              </w:rPr>
              <w:t>20cm</w:t>
            </w:r>
            <w:r>
              <w:rPr>
                <w:rFonts w:ascii="Times New Roman" w:hAnsi="Times New Roman" w:eastAsia="宋体" w:cs="Times New Roman"/>
                <w:szCs w:val="21"/>
                <w:vertAlign w:val="superscript"/>
                <w:lang w:val="sv-SE"/>
              </w:rPr>
              <w:t>2  4</w:t>
            </w:r>
            <w:r>
              <w:rPr>
                <w:rFonts w:hint="eastAsia" w:ascii="Times New Roman" w:hAnsi="Times New Roman" w:eastAsia="宋体" w:cs="Times New Roman"/>
                <w:szCs w:val="21"/>
                <w:vertAlign w:val="superscript"/>
                <w:lang w:val="sv-SE" w:eastAsia="zh-CN"/>
              </w:rPr>
              <w:t>）</w:t>
            </w:r>
          </w:p>
          <w:p>
            <w:pPr>
              <w:adjustRightInd w:val="0"/>
              <w:snapToGrid w:val="0"/>
              <w:jc w:val="left"/>
              <w:rPr>
                <w:rFonts w:ascii="Times New Roman" w:hAnsi="Times New Roman" w:eastAsia="宋体" w:cs="Times New Roman"/>
                <w:szCs w:val="21"/>
                <w:lang w:val="sv-SE"/>
              </w:rPr>
            </w:pPr>
          </w:p>
          <w:p>
            <w:pPr>
              <w:adjustRightInd w:val="0"/>
              <w:snapToGrid w:val="0"/>
              <w:jc w:val="left"/>
              <w:rPr>
                <w:rFonts w:ascii="Times New Roman" w:hAnsi="Times New Roman" w:eastAsia="宋体" w:cs="Times New Roman"/>
                <w:szCs w:val="21"/>
                <w:vertAlign w:val="superscript"/>
                <w:lang w:val="sv-SE"/>
              </w:rPr>
            </w:pPr>
            <w:r>
              <w:rPr>
                <w:rFonts w:hint="eastAsia" w:ascii="Times New Roman" w:hAnsi="Times New Roman" w:eastAsia="宋体" w:cs="Times New Roman"/>
                <w:szCs w:val="21"/>
              </w:rPr>
              <w:t>最多</w:t>
            </w:r>
            <w:r>
              <w:rPr>
                <w:rFonts w:ascii="Times New Roman" w:hAnsi="Times New Roman" w:eastAsia="宋体" w:cs="Times New Roman"/>
                <w:szCs w:val="21"/>
                <w:lang w:val="sv-SE"/>
              </w:rPr>
              <w:t>10.0g</w:t>
            </w:r>
            <w:r>
              <w:rPr>
                <w:rFonts w:hint="eastAsia" w:ascii="Times New Roman" w:hAnsi="Times New Roman" w:eastAsia="宋体" w:cs="Times New Roman"/>
                <w:szCs w:val="21"/>
              </w:rPr>
              <w:t>和</w:t>
            </w:r>
            <w:r>
              <w:rPr>
                <w:rFonts w:ascii="Times New Roman" w:hAnsi="Times New Roman" w:eastAsia="宋体" w:cs="Times New Roman"/>
                <w:szCs w:val="21"/>
                <w:lang w:val="sv-SE"/>
              </w:rPr>
              <w:t>100cm</w:t>
            </w:r>
            <w:r>
              <w:rPr>
                <w:rFonts w:ascii="Times New Roman" w:hAnsi="Times New Roman" w:eastAsia="宋体" w:cs="Times New Roman"/>
                <w:szCs w:val="21"/>
                <w:vertAlign w:val="superscript"/>
                <w:lang w:val="sv-SE"/>
              </w:rPr>
              <w:t>2</w:t>
            </w:r>
          </w:p>
          <w:p>
            <w:pPr>
              <w:adjustRightInd w:val="0"/>
              <w:snapToGrid w:val="0"/>
              <w:jc w:val="left"/>
              <w:rPr>
                <w:rFonts w:ascii="Times New Roman" w:hAnsi="Times New Roman" w:eastAsia="宋体" w:cs="Times New Roman"/>
                <w:szCs w:val="21"/>
                <w:lang w:val="sv-SE"/>
              </w:rPr>
            </w:pPr>
          </w:p>
          <w:p>
            <w:pPr>
              <w:adjustRightInd w:val="0"/>
              <w:snapToGrid w:val="0"/>
              <w:jc w:val="left"/>
              <w:rPr>
                <w:rFonts w:ascii="Times New Roman" w:hAnsi="Times New Roman" w:eastAsia="宋体" w:cs="Times New Roman"/>
                <w:szCs w:val="21"/>
                <w:lang w:val="sv-SE"/>
              </w:rPr>
            </w:pPr>
            <w:r>
              <w:rPr>
                <w:rFonts w:hint="eastAsia" w:ascii="Times New Roman" w:hAnsi="Times New Roman" w:eastAsia="宋体" w:cs="Times New Roman"/>
                <w:szCs w:val="21"/>
              </w:rPr>
              <w:t>最多</w:t>
            </w:r>
            <w:r>
              <w:rPr>
                <w:rFonts w:ascii="Times New Roman" w:hAnsi="Times New Roman" w:eastAsia="宋体" w:cs="Times New Roman"/>
                <w:szCs w:val="21"/>
                <w:lang w:val="sv-SE"/>
              </w:rPr>
              <w:t>20.0g</w:t>
            </w:r>
            <w:r>
              <w:rPr>
                <w:rFonts w:hint="eastAsia" w:ascii="Times New Roman" w:hAnsi="Times New Roman" w:eastAsia="宋体" w:cs="Times New Roman"/>
                <w:szCs w:val="21"/>
              </w:rPr>
              <w:t>和</w:t>
            </w:r>
            <w:r>
              <w:rPr>
                <w:rFonts w:ascii="Times New Roman" w:hAnsi="Times New Roman" w:eastAsia="宋体" w:cs="Times New Roman"/>
                <w:szCs w:val="21"/>
                <w:lang w:val="sv-SE"/>
              </w:rPr>
              <w:t>200cm</w:t>
            </w:r>
            <w:r>
              <w:rPr>
                <w:rFonts w:ascii="Times New Roman" w:hAnsi="Times New Roman" w:eastAsia="宋体" w:cs="Times New Roman"/>
                <w:szCs w:val="21"/>
                <w:vertAlign w:val="superscript"/>
                <w:lang w:val="sv-S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宋体" w:cs="Times New Roman"/>
                <w:szCs w:val="21"/>
                <w:lang w:val="sv-SE"/>
              </w:rPr>
            </w:pPr>
            <w:r>
              <w:rPr>
                <w:rFonts w:hint="eastAsia" w:ascii="Times New Roman" w:hAnsi="Times New Roman" w:eastAsia="宋体" w:cs="Times New Roman"/>
                <w:szCs w:val="21"/>
              </w:rPr>
              <w:t>生殖器粘膜</w:t>
            </w:r>
          </w:p>
          <w:p>
            <w:pPr>
              <w:adjustRightInd w:val="0"/>
              <w:snapToGrid w:val="0"/>
              <w:jc w:val="center"/>
              <w:rPr>
                <w:rFonts w:ascii="Times New Roman" w:hAnsi="Times New Roman" w:eastAsia="宋体" w:cs="Times New Roman"/>
                <w:szCs w:val="21"/>
                <w:lang w:val="sv-SE"/>
              </w:rPr>
            </w:pPr>
            <w:r>
              <w:rPr>
                <w:rFonts w:hint="eastAsia" w:ascii="Times New Roman" w:hAnsi="Times New Roman" w:eastAsia="宋体" w:cs="Times New Roman"/>
                <w:szCs w:val="21"/>
              </w:rPr>
              <w:t>成人</w:t>
            </w:r>
          </w:p>
        </w:tc>
        <w:tc>
          <w:tcPr>
            <w:tcW w:w="181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宋体" w:cs="Times New Roman"/>
                <w:szCs w:val="21"/>
              </w:rPr>
            </w:pPr>
            <w:r>
              <w:rPr>
                <w:rFonts w:hint="eastAsia" w:ascii="Times New Roman" w:hAnsi="Times New Roman" w:eastAsia="宋体" w:cs="Times New Roman"/>
                <w:szCs w:val="21"/>
              </w:rPr>
              <w:t>局部损伤的外科治疗，例：切除生殖器疣（尖锐湿疣）手术或用于局麻注射前。</w:t>
            </w:r>
          </w:p>
        </w:tc>
        <w:tc>
          <w:tcPr>
            <w:tcW w:w="200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宋体" w:cs="Times New Roman"/>
                <w:szCs w:val="21"/>
              </w:rPr>
            </w:pPr>
            <w:r>
              <w:rPr>
                <w:rFonts w:hint="eastAsia" w:ascii="Times New Roman" w:hAnsi="Times New Roman" w:eastAsia="宋体" w:cs="Times New Roman"/>
                <w:szCs w:val="21"/>
              </w:rPr>
              <w:t>敷药量约</w:t>
            </w:r>
            <w:r>
              <w:rPr>
                <w:rFonts w:ascii="Times New Roman" w:hAnsi="Times New Roman" w:eastAsia="宋体" w:cs="Times New Roman"/>
                <w:szCs w:val="21"/>
              </w:rPr>
              <w:t>5-10g</w:t>
            </w:r>
            <w:r>
              <w:rPr>
                <w:rFonts w:hint="eastAsia" w:ascii="Times New Roman" w:hAnsi="Times New Roman" w:eastAsia="宋体" w:cs="Times New Roman"/>
                <w:szCs w:val="21"/>
              </w:rPr>
              <w:t>，时间</w:t>
            </w:r>
            <w:r>
              <w:rPr>
                <w:rFonts w:ascii="Times New Roman" w:hAnsi="Times New Roman" w:eastAsia="宋体" w:cs="Times New Roman"/>
                <w:szCs w:val="21"/>
              </w:rPr>
              <w:t>5-10</w:t>
            </w:r>
            <w:r>
              <w:rPr>
                <w:rFonts w:hint="eastAsia" w:ascii="Times New Roman" w:hAnsi="Times New Roman" w:eastAsia="宋体" w:cs="Times New Roman"/>
                <w:szCs w:val="21"/>
              </w:rPr>
              <w:t>分钟</w:t>
            </w:r>
            <w:r>
              <w:rPr>
                <w:rFonts w:ascii="Times New Roman" w:hAnsi="Times New Roman" w:eastAsia="宋体" w:cs="Times New Roman"/>
                <w:szCs w:val="21"/>
                <w:vertAlign w:val="superscript"/>
              </w:rPr>
              <w:t>1</w:t>
            </w:r>
            <w:r>
              <w:rPr>
                <w:rFonts w:hint="eastAsia" w:ascii="Times New Roman" w:hAnsi="Times New Roman" w:eastAsia="宋体" w:cs="Times New Roman"/>
                <w:szCs w:val="21"/>
                <w:vertAlign w:val="superscript"/>
                <w:lang w:eastAsia="zh-CN"/>
              </w:rPr>
              <w:t>）</w:t>
            </w:r>
            <w:r>
              <w:rPr>
                <w:rFonts w:ascii="Times New Roman" w:hAnsi="Times New Roman" w:eastAsia="宋体" w:cs="Times New Roman"/>
                <w:szCs w:val="21"/>
                <w:vertAlign w:val="superscript"/>
              </w:rPr>
              <w:t>6</w:t>
            </w:r>
            <w:r>
              <w:rPr>
                <w:rFonts w:hint="eastAsia" w:ascii="Times New Roman" w:hAnsi="Times New Roman" w:eastAsia="宋体" w:cs="Times New Roman"/>
                <w:szCs w:val="21"/>
                <w:vertAlign w:val="superscript"/>
                <w:lang w:eastAsia="zh-CN"/>
              </w:rPr>
              <w:t>）</w:t>
            </w:r>
            <w:r>
              <w:rPr>
                <w:rFonts w:hint="eastAsia" w:ascii="Times New Roman" w:hAnsi="Times New Roman" w:eastAsia="宋体" w:cs="Times New Roman"/>
                <w:szCs w:val="21"/>
              </w:rPr>
              <w:t>，不需要覆盖密封的敷膜，即可开始手术。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腿部溃疡</w:t>
            </w:r>
          </w:p>
          <w:p>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成人</w:t>
            </w:r>
          </w:p>
        </w:tc>
        <w:tc>
          <w:tcPr>
            <w:tcW w:w="181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宋体" w:cs="Times New Roman"/>
                <w:szCs w:val="21"/>
              </w:rPr>
            </w:pPr>
            <w:r>
              <w:rPr>
                <w:rFonts w:hint="eastAsia" w:ascii="Times New Roman" w:hAnsi="Times New Roman" w:eastAsia="宋体" w:cs="Times New Roman"/>
                <w:szCs w:val="21"/>
              </w:rPr>
              <w:t>机械性清洁</w:t>
            </w:r>
            <w:r>
              <w:rPr>
                <w:rFonts w:ascii="Times New Roman" w:hAnsi="Times New Roman" w:eastAsia="宋体" w:cs="Times New Roman"/>
                <w:szCs w:val="21"/>
              </w:rPr>
              <w:t>/</w:t>
            </w:r>
            <w:r>
              <w:rPr>
                <w:rFonts w:hint="eastAsia" w:ascii="Times New Roman" w:hAnsi="Times New Roman" w:eastAsia="宋体" w:cs="Times New Roman"/>
                <w:szCs w:val="21"/>
              </w:rPr>
              <w:t>腿部溃疡清创术</w:t>
            </w:r>
          </w:p>
        </w:tc>
        <w:tc>
          <w:tcPr>
            <w:tcW w:w="200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Times New Roman" w:hAnsi="Times New Roman" w:eastAsia="宋体" w:cs="Times New Roman"/>
                <w:szCs w:val="21"/>
                <w:lang w:eastAsia="zh-CN"/>
              </w:rPr>
            </w:pPr>
            <w:r>
              <w:rPr>
                <w:rFonts w:hint="eastAsia" w:ascii="Times New Roman" w:hAnsi="Times New Roman" w:eastAsia="宋体" w:cs="Times New Roman"/>
                <w:szCs w:val="21"/>
              </w:rPr>
              <w:t>在腿部溃疡处涂上一层厚厚的乳膏，约</w:t>
            </w:r>
            <w:r>
              <w:rPr>
                <w:rFonts w:ascii="Times New Roman" w:hAnsi="Times New Roman" w:eastAsia="宋体" w:cs="Times New Roman"/>
                <w:szCs w:val="21"/>
              </w:rPr>
              <w:t>1~2g/10cm</w:t>
            </w:r>
            <w:r>
              <w:rPr>
                <w:rFonts w:ascii="Times New Roman" w:hAnsi="Times New Roman" w:eastAsia="宋体" w:cs="Times New Roman"/>
                <w:szCs w:val="21"/>
                <w:vertAlign w:val="superscript"/>
              </w:rPr>
              <w:t>2</w:t>
            </w:r>
            <w:r>
              <w:rPr>
                <w:rFonts w:hint="eastAsia" w:ascii="Times New Roman" w:hAnsi="Times New Roman" w:eastAsia="宋体" w:cs="Times New Roman"/>
                <w:szCs w:val="21"/>
              </w:rPr>
              <w:t>，最多</w:t>
            </w:r>
            <w:r>
              <w:rPr>
                <w:rFonts w:ascii="Times New Roman" w:hAnsi="Times New Roman" w:eastAsia="宋体" w:cs="Times New Roman"/>
                <w:szCs w:val="21"/>
              </w:rPr>
              <w:t>10g</w:t>
            </w:r>
            <w:r>
              <w:rPr>
                <w:rFonts w:hint="eastAsia" w:ascii="Times New Roman" w:hAnsi="Times New Roman" w:eastAsia="宋体" w:cs="Times New Roman"/>
                <w:szCs w:val="21"/>
              </w:rPr>
              <w:t>。</w:t>
            </w:r>
            <w:r>
              <w:rPr>
                <w:rFonts w:ascii="Times New Roman" w:hAnsi="Times New Roman" w:eastAsia="宋体" w:cs="Times New Roman"/>
                <w:szCs w:val="21"/>
                <w:vertAlign w:val="superscript"/>
              </w:rPr>
              <w:t>5</w:t>
            </w:r>
            <w:r>
              <w:rPr>
                <w:rFonts w:hint="eastAsia" w:ascii="Times New Roman" w:hAnsi="Times New Roman" w:eastAsia="宋体" w:cs="Times New Roman"/>
                <w:szCs w:val="21"/>
                <w:vertAlign w:val="superscript"/>
                <w:lang w:eastAsia="zh-CN"/>
              </w:rPr>
              <w:t>）</w:t>
            </w:r>
            <w:r>
              <w:rPr>
                <w:rFonts w:hint="eastAsia" w:ascii="Times New Roman" w:hAnsi="Times New Roman" w:eastAsia="宋体" w:cs="Times New Roman"/>
                <w:szCs w:val="21"/>
              </w:rPr>
              <w:t>敷药时间至少</w:t>
            </w:r>
            <w:r>
              <w:rPr>
                <w:rFonts w:ascii="Times New Roman" w:hAnsi="Times New Roman" w:eastAsia="宋体" w:cs="Times New Roman"/>
                <w:szCs w:val="21"/>
              </w:rPr>
              <w:t>30</w:t>
            </w:r>
            <w:r>
              <w:rPr>
                <w:rFonts w:hint="eastAsia" w:ascii="Times New Roman" w:hAnsi="Times New Roman" w:eastAsia="宋体" w:cs="Times New Roman"/>
                <w:szCs w:val="21"/>
              </w:rPr>
              <w:t>分钟，如</w:t>
            </w:r>
            <w:r>
              <w:rPr>
                <w:rFonts w:ascii="Times New Roman" w:hAnsi="Times New Roman" w:eastAsia="宋体" w:cs="Times New Roman"/>
                <w:szCs w:val="21"/>
              </w:rPr>
              <w:t>60</w:t>
            </w:r>
            <w:r>
              <w:rPr>
                <w:rFonts w:hint="eastAsia" w:ascii="Times New Roman" w:hAnsi="Times New Roman" w:eastAsia="宋体" w:cs="Times New Roman"/>
                <w:szCs w:val="21"/>
              </w:rPr>
              <w:t>分钟有更好的麻醉效果，乳膏清除后应立即开始手术。</w:t>
            </w:r>
            <w:r>
              <w:rPr>
                <w:rFonts w:ascii="Times New Roman" w:hAnsi="Times New Roman" w:eastAsia="宋体" w:cs="Times New Roman"/>
                <w:szCs w:val="21"/>
                <w:vertAlign w:val="superscript"/>
              </w:rPr>
              <w:t>5</w:t>
            </w:r>
            <w:r>
              <w:rPr>
                <w:rFonts w:hint="eastAsia" w:ascii="Times New Roman" w:hAnsi="Times New Roman" w:eastAsia="宋体" w:cs="Times New Roman"/>
                <w:szCs w:val="21"/>
                <w:vertAlign w:val="superscript"/>
                <w:lang w:eastAsia="zh-CN"/>
              </w:rPr>
              <w:t>）</w:t>
            </w:r>
          </w:p>
        </w:tc>
      </w:tr>
    </w:tbl>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注</w:t>
      </w:r>
    </w:p>
    <w:p>
      <w:pPr>
        <w:numPr>
          <w:ilvl w:val="0"/>
          <w:numId w:val="1"/>
        </w:num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使用时间延长麻醉效果会减低。</w:t>
      </w:r>
    </w:p>
    <w:p>
      <w:pPr>
        <w:numPr>
          <w:ilvl w:val="0"/>
          <w:numId w:val="1"/>
        </w:num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未见报道敷药时间超过</w:t>
      </w:r>
      <w:r>
        <w:rPr>
          <w:rFonts w:ascii="Times New Roman" w:hAnsi="Times New Roman" w:eastAsia="宋体" w:cs="Times New Roman"/>
          <w:szCs w:val="21"/>
        </w:rPr>
        <w:t>1</w:t>
      </w:r>
      <w:r>
        <w:rPr>
          <w:rFonts w:hint="eastAsia" w:ascii="Times New Roman" w:hAnsi="Times New Roman" w:eastAsia="宋体" w:cs="Times New Roman"/>
          <w:szCs w:val="21"/>
        </w:rPr>
        <w:t>小时。</w:t>
      </w:r>
    </w:p>
    <w:p>
      <w:pPr>
        <w:numPr>
          <w:ilvl w:val="0"/>
          <w:numId w:val="1"/>
        </w:num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在得到进一步临床资料之前，当</w:t>
      </w:r>
      <w:r>
        <w:rPr>
          <w:rFonts w:ascii="Times New Roman" w:hAnsi="Times New Roman" w:eastAsia="宋体" w:cs="Times New Roman"/>
          <w:szCs w:val="21"/>
        </w:rPr>
        <w:t>0-12</w:t>
      </w:r>
      <w:r>
        <w:rPr>
          <w:rFonts w:hint="eastAsia" w:ascii="Times New Roman" w:hAnsi="Times New Roman" w:eastAsia="宋体" w:cs="Times New Roman"/>
          <w:szCs w:val="21"/>
        </w:rPr>
        <w:t>个月的婴儿正在接受的药物诱发高铁血红蛋白血症的作用时不能应用利丙双卡因乳膏。</w:t>
      </w:r>
    </w:p>
    <w:p>
      <w:pPr>
        <w:numPr>
          <w:ilvl w:val="0"/>
          <w:numId w:val="1"/>
        </w:num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使用时间长达</w:t>
      </w:r>
      <w:r>
        <w:rPr>
          <w:rFonts w:ascii="Times New Roman" w:hAnsi="Times New Roman" w:eastAsia="宋体" w:cs="Times New Roman"/>
          <w:szCs w:val="21"/>
        </w:rPr>
        <w:t>4</w:t>
      </w:r>
      <w:r>
        <w:rPr>
          <w:rFonts w:hint="eastAsia" w:ascii="Times New Roman" w:hAnsi="Times New Roman" w:eastAsia="宋体" w:cs="Times New Roman"/>
          <w:szCs w:val="21"/>
        </w:rPr>
        <w:t>小时</w:t>
      </w:r>
      <w:r>
        <w:rPr>
          <w:rFonts w:hint="eastAsia" w:ascii="Times New Roman" w:hAnsi="Times New Roman" w:eastAsia="宋体" w:cs="Times New Roman"/>
          <w:szCs w:val="21"/>
          <w:lang w:eastAsia="zh-CN"/>
        </w:rPr>
        <w:t>（</w:t>
      </w:r>
      <w:r>
        <w:rPr>
          <w:rFonts w:ascii="Times New Roman" w:hAnsi="Times New Roman" w:eastAsia="宋体" w:cs="Times New Roman"/>
          <w:szCs w:val="21"/>
        </w:rPr>
        <w:t>16cm</w:t>
      </w:r>
      <w:r>
        <w:rPr>
          <w:rFonts w:ascii="Times New Roman" w:hAnsi="Times New Roman" w:eastAsia="宋体" w:cs="Times New Roman"/>
          <w:szCs w:val="21"/>
          <w:vertAlign w:val="superscript"/>
        </w:rPr>
        <w:t>2</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rPr>
        <w:t>未观察到高铁血红蛋白的增加。</w:t>
      </w:r>
    </w:p>
    <w:p>
      <w:pPr>
        <w:numPr>
          <w:ilvl w:val="0"/>
          <w:numId w:val="1"/>
        </w:num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用于腿部溃疡</w:t>
      </w:r>
      <w:r>
        <w:rPr>
          <w:rFonts w:ascii="Times New Roman" w:hAnsi="Times New Roman" w:eastAsia="宋体" w:cs="Times New Roman"/>
          <w:szCs w:val="21"/>
        </w:rPr>
        <w:t>1~2</w:t>
      </w:r>
      <w:r>
        <w:rPr>
          <w:rFonts w:hint="eastAsia" w:ascii="Times New Roman" w:hAnsi="Times New Roman" w:eastAsia="宋体" w:cs="Times New Roman"/>
          <w:szCs w:val="21"/>
        </w:rPr>
        <w:t>个月内共使用</w:t>
      </w:r>
      <w:r>
        <w:rPr>
          <w:rFonts w:ascii="Times New Roman" w:hAnsi="Times New Roman" w:eastAsia="宋体" w:cs="Times New Roman"/>
          <w:szCs w:val="21"/>
        </w:rPr>
        <w:t>15</w:t>
      </w:r>
      <w:r>
        <w:rPr>
          <w:rFonts w:hint="eastAsia" w:ascii="Times New Roman" w:hAnsi="Times New Roman" w:eastAsia="宋体" w:cs="Times New Roman"/>
          <w:szCs w:val="21"/>
        </w:rPr>
        <w:t>次未见使用效果的降低和局部反应的增加。</w:t>
      </w:r>
    </w:p>
    <w:p>
      <w:pPr>
        <w:numPr>
          <w:ilvl w:val="0"/>
          <w:numId w:val="1"/>
        </w:num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对腿部溃疡使用超过</w:t>
      </w:r>
      <w:r>
        <w:rPr>
          <w:rFonts w:ascii="Times New Roman" w:hAnsi="Times New Roman" w:eastAsia="宋体" w:cs="Times New Roman"/>
          <w:szCs w:val="21"/>
        </w:rPr>
        <w:t>10g</w:t>
      </w:r>
      <w:r>
        <w:rPr>
          <w:rFonts w:hint="eastAsia" w:ascii="Times New Roman" w:hAnsi="Times New Roman" w:eastAsia="宋体" w:cs="Times New Roman"/>
          <w:szCs w:val="21"/>
        </w:rPr>
        <w:t>的大剂量的血药浓度未做研究（见</w:t>
      </w:r>
      <w:r>
        <w:rPr>
          <w:rFonts w:ascii="Times New Roman" w:hAnsi="Times New Roman" w:eastAsia="宋体" w:cs="Times New Roman"/>
          <w:szCs w:val="21"/>
        </w:rPr>
        <w:t>“</w:t>
      </w:r>
      <w:r>
        <w:rPr>
          <w:rFonts w:hint="eastAsia" w:ascii="Times New Roman" w:hAnsi="Times New Roman" w:eastAsia="宋体" w:cs="Times New Roman"/>
          <w:szCs w:val="21"/>
        </w:rPr>
        <w:t>药理毒理</w:t>
      </w:r>
      <w:r>
        <w:rPr>
          <w:rFonts w:ascii="Times New Roman" w:hAnsi="Times New Roman" w:eastAsia="宋体" w:cs="Times New Roman"/>
          <w:szCs w:val="21"/>
        </w:rPr>
        <w:t>”</w:t>
      </w:r>
      <w:r>
        <w:rPr>
          <w:rFonts w:hint="eastAsia" w:ascii="Times New Roman" w:hAnsi="Times New Roman" w:eastAsia="宋体" w:cs="Times New Roman"/>
          <w:szCs w:val="21"/>
        </w:rPr>
        <w:t>）。</w:t>
      </w:r>
    </w:p>
    <w:p>
      <w:pPr>
        <w:widowControl/>
        <w:adjustRightInd w:val="0"/>
        <w:snapToGrid w:val="0"/>
        <w:spacing w:line="360" w:lineRule="auto"/>
        <w:ind w:right="9"/>
        <w:jc w:val="left"/>
        <w:rPr>
          <w:rFonts w:ascii="Times New Roman" w:hAnsi="Times New Roman" w:eastAsia="宋体" w:cs="Times New Roman"/>
          <w:b/>
          <w:color w:val="000000"/>
          <w:kern w:val="0"/>
          <w:szCs w:val="21"/>
        </w:rPr>
      </w:pPr>
      <w:r>
        <w:rPr>
          <w:rFonts w:hint="eastAsia" w:ascii="Times New Roman" w:hAnsi="Times New Roman" w:eastAsia="宋体" w:cs="Times New Roman"/>
          <w:b/>
          <w:color w:val="000000"/>
          <w:kern w:val="0"/>
          <w:szCs w:val="21"/>
        </w:rPr>
        <w:t>【不良反应】</w:t>
      </w:r>
    </w:p>
    <w:p>
      <w:pPr>
        <w:widowControl/>
        <w:adjustRightInd w:val="0"/>
        <w:snapToGrid w:val="0"/>
        <w:spacing w:line="360" w:lineRule="auto"/>
        <w:ind w:right="9"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真正意义上讲使用局麻药的不良反应发生率小于</w:t>
      </w:r>
      <w:r>
        <w:rPr>
          <w:rFonts w:ascii="Times New Roman" w:hAnsi="Times New Roman" w:eastAsia="宋体" w:cs="Times New Roman"/>
          <w:color w:val="000000"/>
          <w:kern w:val="0"/>
          <w:szCs w:val="21"/>
        </w:rPr>
        <w:t>1/1</w:t>
      </w:r>
      <w:r>
        <w:rPr>
          <w:rFonts w:hint="eastAsia" w:ascii="Times New Roman" w:hAnsi="Times New Roman" w:eastAsia="宋体" w:cs="Times New Roman"/>
          <w:color w:val="000000"/>
          <w:kern w:val="0"/>
          <w:szCs w:val="21"/>
          <w:lang w:eastAsia="zh-CN"/>
        </w:rPr>
        <w:t>，</w:t>
      </w:r>
      <w:r>
        <w:rPr>
          <w:rFonts w:ascii="Times New Roman" w:hAnsi="Times New Roman" w:eastAsia="宋体" w:cs="Times New Roman"/>
          <w:color w:val="000000"/>
          <w:kern w:val="0"/>
          <w:szCs w:val="21"/>
        </w:rPr>
        <w:t>000</w:t>
      </w:r>
      <w:r>
        <w:rPr>
          <w:rFonts w:hint="eastAsia" w:ascii="Times New Roman" w:hAnsi="Times New Roman" w:eastAsia="宋体" w:cs="Times New Roman"/>
          <w:color w:val="000000"/>
          <w:kern w:val="0"/>
          <w:szCs w:val="21"/>
        </w:rPr>
        <w:t>。</w:t>
      </w:r>
    </w:p>
    <w:tbl>
      <w:tblPr>
        <w:tblStyle w:val="7"/>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40" w:type="dxa"/>
          <w:bottom w:w="0" w:type="dxa"/>
          <w:right w:w="40" w:type="dxa"/>
        </w:tblCellMar>
      </w:tblPr>
      <w:tblGrid>
        <w:gridCol w:w="999"/>
        <w:gridCol w:w="1577"/>
        <w:gridCol w:w="581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40" w:type="dxa"/>
            <w:bottom w:w="0" w:type="dxa"/>
            <w:right w:w="40" w:type="dxa"/>
          </w:tblCellMar>
        </w:tblPrEx>
        <w:trPr>
          <w:trHeight w:val="18" w:hRule="atLeast"/>
          <w:jc w:val="center"/>
        </w:trPr>
        <w:tc>
          <w:tcPr>
            <w:tcW w:w="596" w:type="pct"/>
            <w:tcBorders>
              <w:top w:val="single" w:color="auto" w:sz="2" w:space="0"/>
              <w:left w:val="single" w:color="auto" w:sz="2" w:space="0"/>
              <w:bottom w:val="single" w:color="auto" w:sz="2" w:space="0"/>
              <w:right w:val="single" w:color="auto" w:sz="2" w:space="0"/>
            </w:tcBorders>
            <w:vAlign w:val="center"/>
          </w:tcPr>
          <w:p>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皮肤</w:t>
            </w:r>
          </w:p>
        </w:tc>
        <w:tc>
          <w:tcPr>
            <w:tcW w:w="940" w:type="pct"/>
            <w:tcBorders>
              <w:top w:val="single" w:color="auto" w:sz="2" w:space="0"/>
              <w:left w:val="single" w:color="auto" w:sz="2" w:space="0"/>
              <w:bottom w:val="single" w:color="auto" w:sz="2" w:space="0"/>
              <w:right w:val="single" w:color="auto" w:sz="2" w:space="0"/>
            </w:tcBorders>
            <w:vAlign w:val="center"/>
          </w:tcPr>
          <w:p>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常见</w:t>
            </w:r>
          </w:p>
          <w:p>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w:t>
            </w:r>
            <w:r>
              <w:rPr>
                <w:rFonts w:hint="eastAsia" w:ascii="Times New Roman" w:hAnsi="Times New Roman" w:eastAsia="宋体" w:cs="Times New Roman"/>
                <w:szCs w:val="21"/>
                <w:lang w:eastAsia="zh-CN"/>
              </w:rPr>
              <w:t>≥</w:t>
            </w:r>
            <w:r>
              <w:rPr>
                <w:rFonts w:ascii="Times New Roman" w:hAnsi="Times New Roman" w:eastAsia="宋体" w:cs="Times New Roman"/>
                <w:szCs w:val="21"/>
              </w:rPr>
              <w:t>1/100</w:t>
            </w:r>
            <w:r>
              <w:rPr>
                <w:rFonts w:hint="eastAsia" w:ascii="Times New Roman" w:hAnsi="Times New Roman" w:eastAsia="宋体" w:cs="Times New Roman"/>
                <w:szCs w:val="21"/>
              </w:rPr>
              <w:t>，</w:t>
            </w:r>
            <w:r>
              <w:rPr>
                <w:rFonts w:hint="eastAsia" w:ascii="宋体" w:hAnsi="宋体" w:eastAsia="宋体" w:cs="宋体"/>
                <w:szCs w:val="21"/>
              </w:rPr>
              <w:t>&lt;</w:t>
            </w:r>
            <w:r>
              <w:rPr>
                <w:rFonts w:ascii="Times New Roman" w:hAnsi="Times New Roman" w:eastAsia="宋体" w:cs="Times New Roman"/>
                <w:szCs w:val="21"/>
              </w:rPr>
              <w:t>1/10</w:t>
            </w:r>
            <w:r>
              <w:rPr>
                <w:rFonts w:hint="eastAsia" w:ascii="Times New Roman" w:hAnsi="Times New Roman" w:eastAsia="宋体" w:cs="Times New Roman"/>
                <w:szCs w:val="21"/>
              </w:rPr>
              <w:t>）</w:t>
            </w:r>
          </w:p>
        </w:tc>
        <w:tc>
          <w:tcPr>
            <w:tcW w:w="3464" w:type="pct"/>
            <w:tcBorders>
              <w:top w:val="single" w:color="auto" w:sz="2" w:space="0"/>
              <w:left w:val="single" w:color="auto" w:sz="2" w:space="0"/>
              <w:bottom w:val="single" w:color="auto" w:sz="2" w:space="0"/>
              <w:right w:val="single" w:color="auto" w:sz="2" w:space="0"/>
            </w:tcBorders>
            <w:vAlign w:val="center"/>
          </w:tcPr>
          <w:p>
            <w:pPr>
              <w:adjustRightInd w:val="0"/>
              <w:snapToGrid w:val="0"/>
              <w:jc w:val="left"/>
              <w:rPr>
                <w:rFonts w:hint="eastAsia" w:ascii="Times New Roman" w:hAnsi="Times New Roman" w:eastAsia="宋体" w:cs="Times New Roman"/>
                <w:szCs w:val="21"/>
                <w:lang w:eastAsia="zh-CN"/>
              </w:rPr>
            </w:pPr>
            <w:r>
              <w:rPr>
                <w:rFonts w:hint="eastAsia" w:ascii="Times New Roman" w:hAnsi="Times New Roman" w:eastAsia="宋体" w:cs="Times New Roman"/>
                <w:szCs w:val="21"/>
              </w:rPr>
              <w:t>用药部位出现一过性局部反应，如苍白、发红和水肿。</w:t>
            </w:r>
            <w:r>
              <w:rPr>
                <w:rFonts w:ascii="Times New Roman" w:hAnsi="Times New Roman" w:eastAsia="宋体" w:cs="Times New Roman"/>
                <w:szCs w:val="21"/>
                <w:vertAlign w:val="superscript"/>
              </w:rPr>
              <w:t>1</w:t>
            </w:r>
            <w:r>
              <w:rPr>
                <w:rFonts w:hint="eastAsia" w:ascii="Times New Roman" w:hAnsi="Times New Roman" w:eastAsia="宋体" w:cs="Times New Roman"/>
                <w:szCs w:val="21"/>
                <w:vertAlign w:val="superscript"/>
                <w:lang w:eastAsia="zh-CN"/>
              </w:rPr>
              <w:t>）</w:t>
            </w:r>
            <w:r>
              <w:rPr>
                <w:rFonts w:ascii="Times New Roman" w:hAnsi="Times New Roman" w:eastAsia="宋体" w:cs="Times New Roman"/>
                <w:szCs w:val="21"/>
                <w:vertAlign w:val="superscript"/>
              </w:rPr>
              <w:t>2</w:t>
            </w:r>
            <w:r>
              <w:rPr>
                <w:rFonts w:hint="eastAsia" w:ascii="Times New Roman" w:hAnsi="Times New Roman" w:eastAsia="宋体" w:cs="Times New Roman"/>
                <w:szCs w:val="21"/>
                <w:vertAlign w:val="superscript"/>
                <w:lang w:eastAsia="zh-CN"/>
              </w:rPr>
              <w:t>）</w:t>
            </w:r>
            <w:r>
              <w:rPr>
                <w:rFonts w:ascii="Times New Roman" w:hAnsi="Times New Roman" w:eastAsia="宋体" w:cs="Times New Roman"/>
                <w:szCs w:val="21"/>
                <w:vertAlign w:val="superscript"/>
              </w:rPr>
              <w:t>3</w:t>
            </w:r>
            <w:r>
              <w:rPr>
                <w:rFonts w:hint="eastAsia" w:ascii="Times New Roman" w:hAnsi="Times New Roman" w:eastAsia="宋体" w:cs="Times New Roman"/>
                <w:szCs w:val="21"/>
                <w:vertAlign w:val="superscript"/>
                <w:lang w:eastAsia="zh-CN"/>
              </w:rPr>
              <w:t>）</w:t>
            </w:r>
          </w:p>
          <w:p>
            <w:pPr>
              <w:adjustRightInd w:val="0"/>
              <w:snapToGrid w:val="0"/>
              <w:jc w:val="left"/>
              <w:rPr>
                <w:rFonts w:hint="eastAsia" w:ascii="Times New Roman" w:hAnsi="Times New Roman" w:eastAsia="宋体" w:cs="Times New Roman"/>
                <w:szCs w:val="21"/>
                <w:lang w:eastAsia="zh-CN"/>
              </w:rPr>
            </w:pPr>
            <w:r>
              <w:rPr>
                <w:rFonts w:hint="eastAsia" w:ascii="Times New Roman" w:hAnsi="Times New Roman" w:eastAsia="宋体" w:cs="Times New Roman"/>
                <w:szCs w:val="21"/>
              </w:rPr>
              <w:t>用药部位最初出现的烧灼感、瘙痒或温热通常为轻度</w:t>
            </w:r>
            <w:r>
              <w:rPr>
                <w:rFonts w:ascii="Times New Roman" w:hAnsi="Times New Roman" w:eastAsia="宋体" w:cs="Times New Roman"/>
                <w:szCs w:val="21"/>
                <w:vertAlign w:val="superscript"/>
              </w:rPr>
              <w:t>2</w:t>
            </w:r>
            <w:r>
              <w:rPr>
                <w:rFonts w:hint="eastAsia" w:ascii="Times New Roman" w:hAnsi="Times New Roman" w:eastAsia="宋体" w:cs="Times New Roman"/>
                <w:szCs w:val="21"/>
                <w:vertAlign w:val="superscript"/>
                <w:lang w:eastAsia="zh-CN"/>
              </w:rPr>
              <w:t>）</w:t>
            </w:r>
            <w:r>
              <w:rPr>
                <w:rFonts w:ascii="Times New Roman" w:hAnsi="Times New Roman" w:eastAsia="宋体" w:cs="Times New Roman"/>
                <w:szCs w:val="21"/>
                <w:vertAlign w:val="superscript"/>
              </w:rPr>
              <w:t>3</w:t>
            </w:r>
            <w:r>
              <w:rPr>
                <w:rFonts w:hint="eastAsia" w:ascii="Times New Roman" w:hAnsi="Times New Roman" w:eastAsia="宋体" w:cs="Times New Roman"/>
                <w:szCs w:val="21"/>
                <w:vertAlign w:val="superscript"/>
                <w:lang w:eastAsia="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40" w:type="dxa"/>
            <w:bottom w:w="0" w:type="dxa"/>
            <w:right w:w="40" w:type="dxa"/>
          </w:tblCellMar>
        </w:tblPrEx>
        <w:trPr>
          <w:trHeight w:val="18" w:hRule="atLeast"/>
          <w:jc w:val="center"/>
        </w:trPr>
        <w:tc>
          <w:tcPr>
            <w:tcW w:w="596" w:type="pct"/>
            <w:tcBorders>
              <w:top w:val="single" w:color="auto" w:sz="2" w:space="0"/>
              <w:left w:val="single" w:color="auto" w:sz="2" w:space="0"/>
              <w:bottom w:val="single" w:color="auto" w:sz="2" w:space="0"/>
              <w:right w:val="single" w:color="auto" w:sz="2" w:space="0"/>
            </w:tcBorders>
            <w:vAlign w:val="center"/>
          </w:tcPr>
          <w:p>
            <w:pPr>
              <w:adjustRightInd w:val="0"/>
              <w:snapToGrid w:val="0"/>
              <w:jc w:val="center"/>
              <w:rPr>
                <w:rFonts w:ascii="Times New Roman" w:hAnsi="Times New Roman" w:eastAsia="宋体" w:cs="Times New Roman"/>
                <w:szCs w:val="21"/>
              </w:rPr>
            </w:pPr>
          </w:p>
        </w:tc>
        <w:tc>
          <w:tcPr>
            <w:tcW w:w="940" w:type="pct"/>
            <w:tcBorders>
              <w:top w:val="single" w:color="auto" w:sz="2" w:space="0"/>
              <w:left w:val="single" w:color="auto" w:sz="2" w:space="0"/>
              <w:bottom w:val="single" w:color="auto" w:sz="2" w:space="0"/>
              <w:right w:val="single" w:color="auto" w:sz="2" w:space="0"/>
            </w:tcBorders>
            <w:vAlign w:val="center"/>
          </w:tcPr>
          <w:p>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偶见</w:t>
            </w:r>
          </w:p>
          <w:p>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w:t>
            </w:r>
            <w:r>
              <w:rPr>
                <w:rFonts w:hint="eastAsia" w:ascii="Times New Roman" w:hAnsi="Times New Roman" w:eastAsia="宋体" w:cs="Times New Roman"/>
                <w:szCs w:val="21"/>
                <w:lang w:eastAsia="zh-CN"/>
              </w:rPr>
              <w:t>≥</w:t>
            </w:r>
            <w:r>
              <w:rPr>
                <w:rFonts w:ascii="Times New Roman" w:hAnsi="Times New Roman" w:eastAsia="宋体" w:cs="Times New Roman"/>
                <w:szCs w:val="21"/>
              </w:rPr>
              <w:t>1/1</w:t>
            </w:r>
            <w:r>
              <w:rPr>
                <w:rFonts w:hint="eastAsia" w:ascii="Times New Roman" w:hAnsi="Times New Roman" w:eastAsia="宋体" w:cs="Times New Roman"/>
                <w:szCs w:val="21"/>
                <w:lang w:val="en-US" w:eastAsia="zh-CN"/>
              </w:rPr>
              <w:t>,</w:t>
            </w:r>
            <w:r>
              <w:rPr>
                <w:rFonts w:ascii="Times New Roman" w:hAnsi="Times New Roman" w:eastAsia="宋体" w:cs="Times New Roman"/>
                <w:szCs w:val="21"/>
              </w:rPr>
              <w:t>000</w:t>
            </w:r>
            <w:r>
              <w:rPr>
                <w:rFonts w:hint="eastAsia" w:ascii="Times New Roman" w:hAnsi="Times New Roman" w:eastAsia="宋体" w:cs="Times New Roman"/>
                <w:szCs w:val="21"/>
              </w:rPr>
              <w:t>，</w:t>
            </w:r>
            <w:r>
              <w:rPr>
                <w:rFonts w:ascii="Times New Roman" w:hAnsi="Times New Roman" w:eastAsia="宋体" w:cs="Times New Roman"/>
                <w:szCs w:val="21"/>
              </w:rPr>
              <w:t>&lt;1/100</w:t>
            </w:r>
            <w:r>
              <w:rPr>
                <w:rFonts w:hint="eastAsia" w:ascii="Times New Roman" w:hAnsi="Times New Roman" w:eastAsia="宋体" w:cs="Times New Roman"/>
                <w:szCs w:val="21"/>
              </w:rPr>
              <w:t>）</w:t>
            </w:r>
          </w:p>
        </w:tc>
        <w:tc>
          <w:tcPr>
            <w:tcW w:w="3464" w:type="pct"/>
            <w:tcBorders>
              <w:top w:val="single" w:color="auto" w:sz="2" w:space="0"/>
              <w:left w:val="single" w:color="auto" w:sz="2" w:space="0"/>
              <w:bottom w:val="single" w:color="auto" w:sz="2" w:space="0"/>
              <w:right w:val="single" w:color="auto" w:sz="2" w:space="0"/>
            </w:tcBorders>
            <w:vAlign w:val="center"/>
          </w:tcPr>
          <w:p>
            <w:pPr>
              <w:adjustRightInd w:val="0"/>
              <w:snapToGrid w:val="0"/>
              <w:jc w:val="left"/>
              <w:rPr>
                <w:rFonts w:hint="eastAsia" w:ascii="Times New Roman" w:hAnsi="Times New Roman" w:eastAsia="宋体" w:cs="Times New Roman"/>
                <w:szCs w:val="21"/>
                <w:lang w:eastAsia="zh-CN"/>
              </w:rPr>
            </w:pPr>
            <w:r>
              <w:rPr>
                <w:rFonts w:hint="eastAsia" w:ascii="Times New Roman" w:hAnsi="Times New Roman" w:eastAsia="宋体" w:cs="Times New Roman"/>
                <w:szCs w:val="21"/>
              </w:rPr>
              <w:t>用药部位最初出现的烧灼、瘙痒感或温热为轻度</w:t>
            </w:r>
            <w:r>
              <w:rPr>
                <w:rFonts w:ascii="Times New Roman" w:hAnsi="Times New Roman" w:eastAsia="宋体" w:cs="Times New Roman"/>
                <w:szCs w:val="21"/>
                <w:vertAlign w:val="superscript"/>
              </w:rPr>
              <w:t>1</w:t>
            </w:r>
            <w:r>
              <w:rPr>
                <w:rFonts w:hint="eastAsia" w:ascii="Times New Roman" w:hAnsi="Times New Roman" w:eastAsia="宋体" w:cs="Times New Roman"/>
                <w:szCs w:val="21"/>
                <w:vertAlign w:val="superscript"/>
                <w:lang w:eastAsia="zh-CN"/>
              </w:rPr>
              <w:t>）</w:t>
            </w:r>
            <w:r>
              <w:rPr>
                <w:rFonts w:ascii="Times New Roman" w:hAnsi="Times New Roman" w:eastAsia="宋体" w:cs="Times New Roman"/>
                <w:szCs w:val="21"/>
              </w:rPr>
              <w:t xml:space="preserve"> </w:t>
            </w:r>
            <w:r>
              <w:rPr>
                <w:rFonts w:ascii="Times New Roman" w:hAnsi="Times New Roman" w:eastAsia="宋体" w:cs="Times New Roman"/>
                <w:szCs w:val="21"/>
              </w:rPr>
              <w:br w:type="textWrapping"/>
            </w:r>
            <w:r>
              <w:rPr>
                <w:rFonts w:hint="eastAsia" w:ascii="Times New Roman" w:hAnsi="Times New Roman" w:eastAsia="宋体" w:cs="Times New Roman"/>
                <w:szCs w:val="21"/>
              </w:rPr>
              <w:t>用药部位局部感觉异常，如刺痛感</w:t>
            </w:r>
            <w:r>
              <w:rPr>
                <w:rFonts w:ascii="Times New Roman" w:hAnsi="Times New Roman" w:eastAsia="宋体" w:cs="Times New Roman"/>
                <w:szCs w:val="21"/>
                <w:vertAlign w:val="superscript"/>
              </w:rPr>
              <w:t>2</w:t>
            </w:r>
            <w:r>
              <w:rPr>
                <w:rFonts w:hint="eastAsia" w:ascii="Times New Roman" w:hAnsi="Times New Roman" w:eastAsia="宋体" w:cs="Times New Roman"/>
                <w:szCs w:val="21"/>
                <w:vertAlign w:val="superscript"/>
                <w:lang w:eastAsia="zh-CN"/>
              </w:rPr>
              <w:t>）</w:t>
            </w:r>
          </w:p>
          <w:p>
            <w:pPr>
              <w:adjustRightInd w:val="0"/>
              <w:snapToGrid w:val="0"/>
              <w:jc w:val="left"/>
              <w:rPr>
                <w:rFonts w:hint="eastAsia" w:ascii="Times New Roman" w:hAnsi="Times New Roman" w:eastAsia="宋体" w:cs="Times New Roman"/>
                <w:szCs w:val="21"/>
                <w:lang w:eastAsia="zh-CN"/>
              </w:rPr>
            </w:pPr>
            <w:r>
              <w:rPr>
                <w:rFonts w:hint="eastAsia" w:ascii="Times New Roman" w:hAnsi="Times New Roman" w:eastAsia="宋体" w:cs="Times New Roman"/>
                <w:szCs w:val="21"/>
              </w:rPr>
              <w:t>用药部位出现皮肤刺激</w:t>
            </w:r>
            <w:r>
              <w:rPr>
                <w:rFonts w:ascii="Times New Roman" w:hAnsi="Times New Roman" w:eastAsia="宋体" w:cs="Times New Roman"/>
                <w:szCs w:val="21"/>
                <w:vertAlign w:val="superscript"/>
              </w:rPr>
              <w:t>3</w:t>
            </w:r>
            <w:r>
              <w:rPr>
                <w:rFonts w:hint="eastAsia" w:ascii="Times New Roman" w:hAnsi="Times New Roman" w:eastAsia="宋体" w:cs="Times New Roman"/>
                <w:szCs w:val="21"/>
                <w:vertAlign w:val="superscript"/>
                <w:lang w:eastAsia="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40" w:type="dxa"/>
            <w:bottom w:w="0" w:type="dxa"/>
            <w:right w:w="40" w:type="dxa"/>
          </w:tblCellMar>
        </w:tblPrEx>
        <w:trPr>
          <w:trHeight w:val="18" w:hRule="atLeast"/>
          <w:jc w:val="center"/>
        </w:trPr>
        <w:tc>
          <w:tcPr>
            <w:tcW w:w="596" w:type="pct"/>
            <w:tcBorders>
              <w:top w:val="single" w:color="auto" w:sz="2" w:space="0"/>
              <w:left w:val="single" w:color="auto" w:sz="2" w:space="0"/>
              <w:bottom w:val="single" w:color="auto" w:sz="2" w:space="0"/>
              <w:right w:val="single" w:color="auto" w:sz="2" w:space="0"/>
            </w:tcBorders>
            <w:vAlign w:val="center"/>
          </w:tcPr>
          <w:p>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全身性疾病和用药部位不适</w:t>
            </w:r>
          </w:p>
        </w:tc>
        <w:tc>
          <w:tcPr>
            <w:tcW w:w="940" w:type="pct"/>
            <w:tcBorders>
              <w:top w:val="single" w:color="auto" w:sz="2" w:space="0"/>
              <w:left w:val="single" w:color="auto" w:sz="2" w:space="0"/>
              <w:bottom w:val="single" w:color="auto" w:sz="2" w:space="0"/>
              <w:right w:val="single" w:color="auto" w:sz="2" w:space="0"/>
            </w:tcBorders>
            <w:vAlign w:val="center"/>
          </w:tcPr>
          <w:p>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罕见</w:t>
            </w:r>
          </w:p>
          <w:p>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w:t>
            </w:r>
            <w:r>
              <w:rPr>
                <w:rFonts w:hint="eastAsia" w:ascii="宋体" w:hAnsi="宋体" w:eastAsia="宋体" w:cs="宋体"/>
                <w:szCs w:val="21"/>
                <w:lang w:eastAsia="zh-CN"/>
              </w:rPr>
              <w:t>≥</w:t>
            </w:r>
            <w:r>
              <w:rPr>
                <w:rFonts w:ascii="Times New Roman" w:hAnsi="Times New Roman" w:eastAsia="宋体" w:cs="Times New Roman"/>
                <w:szCs w:val="21"/>
              </w:rPr>
              <w:t>1/10</w:t>
            </w:r>
            <w:r>
              <w:rPr>
                <w:rFonts w:hint="eastAsia" w:ascii="Times New Roman" w:hAnsi="Times New Roman" w:eastAsia="宋体" w:cs="Times New Roman"/>
                <w:szCs w:val="21"/>
                <w:lang w:val="en-US" w:eastAsia="zh-CN"/>
              </w:rPr>
              <w:t>,</w:t>
            </w:r>
            <w:r>
              <w:rPr>
                <w:rFonts w:ascii="Times New Roman" w:hAnsi="Times New Roman" w:eastAsia="宋体" w:cs="Times New Roman"/>
                <w:szCs w:val="21"/>
              </w:rPr>
              <w:t>000</w:t>
            </w:r>
            <w:r>
              <w:rPr>
                <w:rFonts w:hint="eastAsia" w:ascii="Times New Roman" w:hAnsi="Times New Roman" w:eastAsia="宋体" w:cs="Times New Roman"/>
                <w:szCs w:val="21"/>
              </w:rPr>
              <w:t>，</w:t>
            </w:r>
            <w:r>
              <w:rPr>
                <w:rFonts w:ascii="Times New Roman" w:hAnsi="Times New Roman" w:eastAsia="宋体" w:cs="Times New Roman"/>
                <w:szCs w:val="21"/>
              </w:rPr>
              <w:t>&lt;1/1000</w:t>
            </w:r>
            <w:r>
              <w:rPr>
                <w:rFonts w:hint="eastAsia" w:ascii="Times New Roman" w:hAnsi="Times New Roman" w:eastAsia="宋体" w:cs="Times New Roman"/>
                <w:szCs w:val="21"/>
              </w:rPr>
              <w:t>）</w:t>
            </w:r>
          </w:p>
        </w:tc>
        <w:tc>
          <w:tcPr>
            <w:tcW w:w="3464" w:type="pct"/>
            <w:tcBorders>
              <w:top w:val="single" w:color="auto" w:sz="2" w:space="0"/>
              <w:left w:val="single" w:color="auto" w:sz="2" w:space="0"/>
              <w:bottom w:val="single" w:color="auto" w:sz="2" w:space="0"/>
              <w:right w:val="single" w:color="auto" w:sz="2" w:space="0"/>
            </w:tcBorders>
            <w:vAlign w:val="center"/>
          </w:tcPr>
          <w:p>
            <w:pPr>
              <w:adjustRightInd w:val="0"/>
              <w:snapToGrid w:val="0"/>
              <w:jc w:val="left"/>
              <w:rPr>
                <w:rFonts w:hint="eastAsia" w:ascii="Times New Roman" w:hAnsi="Times New Roman" w:eastAsia="宋体" w:cs="Times New Roman"/>
                <w:szCs w:val="21"/>
                <w:lang w:eastAsia="zh-CN"/>
              </w:rPr>
            </w:pPr>
            <w:r>
              <w:rPr>
                <w:rFonts w:hint="eastAsia" w:ascii="Times New Roman" w:hAnsi="Times New Roman" w:eastAsia="宋体" w:cs="Times New Roman"/>
                <w:szCs w:val="21"/>
              </w:rPr>
              <w:t>过敏反应，最严重时发生过敏性休克。</w:t>
            </w:r>
            <w:r>
              <w:rPr>
                <w:rFonts w:ascii="Times New Roman" w:hAnsi="Times New Roman" w:eastAsia="宋体" w:cs="Times New Roman"/>
                <w:szCs w:val="21"/>
                <w:vertAlign w:val="superscript"/>
              </w:rPr>
              <w:t>1</w:t>
            </w:r>
            <w:r>
              <w:rPr>
                <w:rFonts w:hint="eastAsia" w:ascii="Times New Roman" w:hAnsi="Times New Roman" w:eastAsia="宋体" w:cs="Times New Roman"/>
                <w:szCs w:val="21"/>
                <w:vertAlign w:val="superscript"/>
                <w:lang w:eastAsia="zh-CN"/>
              </w:rPr>
              <w:t>）</w:t>
            </w:r>
            <w:r>
              <w:rPr>
                <w:rFonts w:ascii="Times New Roman" w:hAnsi="Times New Roman" w:eastAsia="宋体" w:cs="Times New Roman"/>
                <w:szCs w:val="21"/>
                <w:vertAlign w:val="superscript"/>
              </w:rPr>
              <w:t xml:space="preserve"> 2</w:t>
            </w:r>
            <w:r>
              <w:rPr>
                <w:rFonts w:hint="eastAsia" w:ascii="Times New Roman" w:hAnsi="Times New Roman" w:eastAsia="宋体" w:cs="Times New Roman"/>
                <w:szCs w:val="21"/>
                <w:vertAlign w:val="superscript"/>
                <w:lang w:eastAsia="zh-CN"/>
              </w:rPr>
              <w:t>）</w:t>
            </w:r>
            <w:r>
              <w:rPr>
                <w:rFonts w:ascii="Times New Roman" w:hAnsi="Times New Roman" w:eastAsia="宋体" w:cs="Times New Roman"/>
                <w:szCs w:val="21"/>
                <w:vertAlign w:val="superscript"/>
              </w:rPr>
              <w:t xml:space="preserve"> 3</w:t>
            </w:r>
            <w:r>
              <w:rPr>
                <w:rFonts w:hint="eastAsia" w:ascii="Times New Roman" w:hAnsi="Times New Roman" w:eastAsia="宋体" w:cs="Times New Roman"/>
                <w:szCs w:val="21"/>
                <w:vertAlign w:val="superscript"/>
                <w:lang w:eastAsia="zh-CN"/>
              </w:rPr>
              <w:t>）</w:t>
            </w:r>
            <w:r>
              <w:rPr>
                <w:rFonts w:ascii="Times New Roman" w:hAnsi="Times New Roman" w:eastAsia="宋体" w:cs="Times New Roman"/>
                <w:szCs w:val="21"/>
              </w:rPr>
              <w:br w:type="textWrapping"/>
            </w:r>
            <w:r>
              <w:rPr>
                <w:rFonts w:hint="eastAsia" w:ascii="Times New Roman" w:hAnsi="Times New Roman" w:eastAsia="宋体" w:cs="Times New Roman"/>
                <w:szCs w:val="21"/>
              </w:rPr>
              <w:t>高铁血红蛋白血症</w:t>
            </w:r>
            <w:r>
              <w:rPr>
                <w:rFonts w:ascii="Times New Roman" w:hAnsi="Times New Roman" w:eastAsia="宋体" w:cs="Times New Roman"/>
                <w:szCs w:val="21"/>
                <w:vertAlign w:val="superscript"/>
              </w:rPr>
              <w:t>1</w:t>
            </w:r>
            <w:r>
              <w:rPr>
                <w:rFonts w:hint="eastAsia" w:ascii="Times New Roman" w:hAnsi="Times New Roman" w:eastAsia="宋体" w:cs="Times New Roman"/>
                <w:szCs w:val="21"/>
                <w:vertAlign w:val="superscript"/>
                <w:lang w:eastAsia="zh-CN"/>
              </w:rPr>
              <w:t>）</w:t>
            </w:r>
            <w:r>
              <w:rPr>
                <w:rFonts w:hint="eastAsia" w:ascii="Times New Roman" w:hAnsi="Times New Roman" w:eastAsia="宋体" w:cs="Times New Roman"/>
                <w:szCs w:val="21"/>
              </w:rPr>
              <w:t>。</w:t>
            </w:r>
            <w:r>
              <w:rPr>
                <w:rFonts w:ascii="Times New Roman" w:hAnsi="Times New Roman" w:eastAsia="宋体" w:cs="Times New Roman"/>
                <w:szCs w:val="21"/>
              </w:rPr>
              <w:br w:type="textWrapping"/>
            </w:r>
            <w:r>
              <w:rPr>
                <w:rFonts w:hint="eastAsia" w:ascii="Times New Roman" w:hAnsi="Times New Roman" w:eastAsia="宋体" w:cs="Times New Roman"/>
                <w:szCs w:val="21"/>
              </w:rPr>
              <w:t>用药部位皮肤反应，如紫癜或瘀点，尤其在有特应性皮炎或传染性软疣的儿童长时间用药后。</w:t>
            </w:r>
            <w:r>
              <w:rPr>
                <w:rFonts w:ascii="Times New Roman" w:hAnsi="Times New Roman" w:eastAsia="宋体" w:cs="Times New Roman"/>
                <w:szCs w:val="21"/>
                <w:vertAlign w:val="superscript"/>
              </w:rPr>
              <w:t>1</w:t>
            </w:r>
            <w:r>
              <w:rPr>
                <w:rFonts w:hint="eastAsia" w:ascii="Times New Roman" w:hAnsi="Times New Roman" w:eastAsia="宋体" w:cs="Times New Roman"/>
                <w:szCs w:val="21"/>
                <w:vertAlign w:val="superscript"/>
                <w:lang w:eastAsia="zh-CN"/>
              </w:rPr>
              <w:t>）</w:t>
            </w:r>
            <w:r>
              <w:rPr>
                <w:rFonts w:ascii="Times New Roman" w:hAnsi="Times New Roman" w:eastAsia="宋体" w:cs="Times New Roman"/>
                <w:szCs w:val="21"/>
              </w:rPr>
              <w:br w:type="textWrapping"/>
            </w:r>
            <w:r>
              <w:rPr>
                <w:rFonts w:hint="eastAsia" w:ascii="Times New Roman" w:hAnsi="Times New Roman" w:eastAsia="宋体" w:cs="Times New Roman"/>
                <w:szCs w:val="21"/>
              </w:rPr>
              <w:t>本品不慎进入眼睛会引起角膜刺激。</w:t>
            </w:r>
            <w:r>
              <w:rPr>
                <w:rFonts w:ascii="Times New Roman" w:hAnsi="Times New Roman" w:eastAsia="宋体" w:cs="Times New Roman"/>
                <w:szCs w:val="21"/>
                <w:vertAlign w:val="superscript"/>
              </w:rPr>
              <w:t>1</w:t>
            </w:r>
            <w:r>
              <w:rPr>
                <w:rFonts w:hint="eastAsia" w:ascii="Times New Roman" w:hAnsi="Times New Roman" w:eastAsia="宋体" w:cs="Times New Roman"/>
                <w:szCs w:val="21"/>
                <w:vertAlign w:val="superscript"/>
                <w:lang w:eastAsia="zh-CN"/>
              </w:rPr>
              <w:t>）</w:t>
            </w:r>
          </w:p>
        </w:tc>
      </w:tr>
    </w:tbl>
    <w:p>
      <w:pPr>
        <w:ind w:firstLine="420" w:firstLineChars="200"/>
        <w:rPr>
          <w:rFonts w:ascii="Calibri" w:hAnsi="Calibri" w:eastAsia="宋体" w:cs="Times New Roman"/>
        </w:rPr>
      </w:pPr>
      <w:r>
        <w:rPr>
          <w:rFonts w:ascii="Calibri" w:hAnsi="Calibri" w:eastAsia="宋体" w:cs="Times New Roman"/>
          <w:vertAlign w:val="superscript"/>
        </w:rPr>
        <w:t>1</w:t>
      </w:r>
      <w:r>
        <w:rPr>
          <w:rFonts w:hint="eastAsia" w:ascii="Times New Roman" w:hAnsi="Times New Roman" w:eastAsia="宋体" w:cs="Times New Roman"/>
          <w:szCs w:val="21"/>
          <w:vertAlign w:val="superscript"/>
          <w:lang w:eastAsia="zh-CN"/>
        </w:rPr>
        <w:t>）</w:t>
      </w:r>
      <w:r>
        <w:rPr>
          <w:rFonts w:hint="eastAsia" w:ascii="Calibri" w:hAnsi="宋体" w:eastAsia="宋体" w:cs="Times New Roman"/>
        </w:rPr>
        <w:t>无损皮肤</w:t>
      </w:r>
    </w:p>
    <w:p>
      <w:pPr>
        <w:ind w:firstLine="420" w:firstLineChars="200"/>
        <w:rPr>
          <w:rFonts w:ascii="Calibri" w:hAnsi="Calibri" w:eastAsia="宋体" w:cs="Times New Roman"/>
        </w:rPr>
      </w:pPr>
      <w:r>
        <w:rPr>
          <w:rFonts w:ascii="Calibri" w:hAnsi="Calibri" w:eastAsia="宋体" w:cs="Times New Roman"/>
          <w:vertAlign w:val="superscript"/>
        </w:rPr>
        <w:t>2</w:t>
      </w:r>
      <w:r>
        <w:rPr>
          <w:rFonts w:hint="eastAsia" w:ascii="Times New Roman" w:hAnsi="Times New Roman" w:eastAsia="宋体" w:cs="Times New Roman"/>
          <w:szCs w:val="21"/>
          <w:vertAlign w:val="superscript"/>
          <w:lang w:eastAsia="zh-CN"/>
        </w:rPr>
        <w:t>）</w:t>
      </w:r>
      <w:r>
        <w:rPr>
          <w:rFonts w:hint="eastAsia" w:ascii="Calibri" w:hAnsi="宋体" w:eastAsia="宋体" w:cs="Times New Roman"/>
        </w:rPr>
        <w:t>生殖器粘膜</w:t>
      </w:r>
    </w:p>
    <w:p>
      <w:pPr>
        <w:ind w:firstLine="420" w:firstLineChars="200"/>
        <w:rPr>
          <w:rFonts w:ascii="Times New Roman" w:hAnsi="Times New Roman" w:eastAsia="宋体" w:cs="Times New Roman"/>
          <w:szCs w:val="21"/>
        </w:rPr>
      </w:pPr>
      <w:r>
        <w:rPr>
          <w:rFonts w:ascii="Calibri" w:hAnsi="Calibri" w:eastAsia="宋体" w:cs="Times New Roman"/>
          <w:vertAlign w:val="superscript"/>
        </w:rPr>
        <w:t>3</w:t>
      </w:r>
      <w:r>
        <w:rPr>
          <w:rFonts w:hint="eastAsia" w:ascii="Times New Roman" w:hAnsi="Times New Roman" w:eastAsia="宋体" w:cs="Times New Roman"/>
          <w:szCs w:val="21"/>
          <w:vertAlign w:val="superscript"/>
          <w:lang w:eastAsia="zh-CN"/>
        </w:rPr>
        <w:t>）</w:t>
      </w:r>
      <w:r>
        <w:rPr>
          <w:rFonts w:hint="eastAsia" w:ascii="Calibri" w:hAnsi="宋体" w:eastAsia="宋体" w:cs="Times New Roman"/>
        </w:rPr>
        <w:t>腿部溃疡</w:t>
      </w:r>
    </w:p>
    <w:p>
      <w:pPr>
        <w:widowControl/>
        <w:adjustRightInd w:val="0"/>
        <w:snapToGrid w:val="0"/>
        <w:spacing w:line="360" w:lineRule="auto"/>
        <w:ind w:right="9"/>
        <w:jc w:val="left"/>
        <w:rPr>
          <w:rFonts w:ascii="Times New Roman" w:hAnsi="Times New Roman" w:eastAsia="宋体" w:cs="Times New Roman"/>
          <w:b/>
          <w:color w:val="000000"/>
          <w:kern w:val="0"/>
          <w:szCs w:val="21"/>
        </w:rPr>
      </w:pPr>
      <w:r>
        <w:rPr>
          <w:rFonts w:hint="eastAsia" w:ascii="Times New Roman" w:hAnsi="Times New Roman" w:eastAsia="宋体" w:cs="Times New Roman"/>
          <w:b/>
          <w:color w:val="000000"/>
          <w:kern w:val="0"/>
          <w:szCs w:val="21"/>
        </w:rPr>
        <w:t>【禁忌】</w:t>
      </w:r>
    </w:p>
    <w:p>
      <w:pPr>
        <w:widowControl/>
        <w:adjustRightInd w:val="0"/>
        <w:snapToGrid w:val="0"/>
        <w:spacing w:line="360" w:lineRule="auto"/>
        <w:ind w:right="9"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对酰胺类局部麻醉药或对本品中任何其它成份过敏者。</w:t>
      </w:r>
    </w:p>
    <w:p>
      <w:pPr>
        <w:widowControl/>
        <w:adjustRightInd w:val="0"/>
        <w:snapToGrid w:val="0"/>
        <w:spacing w:line="360" w:lineRule="auto"/>
        <w:ind w:right="9"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先天性或特发性高铁血红蛋白血症。</w:t>
      </w:r>
    </w:p>
    <w:p>
      <w:pPr>
        <w:widowControl/>
        <w:adjustRightInd w:val="0"/>
        <w:snapToGrid w:val="0"/>
        <w:spacing w:line="360" w:lineRule="auto"/>
        <w:ind w:right="9"/>
        <w:jc w:val="left"/>
        <w:rPr>
          <w:rFonts w:ascii="Times New Roman" w:hAnsi="Times New Roman" w:eastAsia="宋体" w:cs="Times New Roman"/>
          <w:b/>
          <w:color w:val="000000"/>
          <w:kern w:val="0"/>
          <w:szCs w:val="21"/>
        </w:rPr>
      </w:pPr>
      <w:r>
        <w:rPr>
          <w:rFonts w:hint="eastAsia" w:ascii="Times New Roman" w:hAnsi="Times New Roman" w:eastAsia="宋体" w:cs="Times New Roman"/>
          <w:b/>
          <w:color w:val="000000"/>
          <w:kern w:val="0"/>
          <w:szCs w:val="21"/>
        </w:rPr>
        <w:t>【注意事项】</w:t>
      </w:r>
    </w:p>
    <w:p>
      <w:pPr>
        <w:widowControl/>
        <w:adjustRightInd w:val="0"/>
        <w:snapToGrid w:val="0"/>
        <w:spacing w:line="360" w:lineRule="auto"/>
        <w:ind w:right="9"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当成人使用推荐剂量的本品后，由丙胺卡因代谢产物导致形成的高铁血红蛋白通常不会发生临床问题。但是，某些患者为药物诱导性高铁血红蛋白血症的易感人群，如葡萄糖磷酸脱氢酶缺乏患者、先天性或特发性高铁血红蛋白血症患者。</w:t>
      </w:r>
    </w:p>
    <w:p>
      <w:pPr>
        <w:widowControl/>
        <w:adjustRightInd w:val="0"/>
        <w:snapToGrid w:val="0"/>
        <w:spacing w:line="360" w:lineRule="auto"/>
        <w:ind w:right="9"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本品用于眼睛周围皮肤时需特别小心，因为可引起眼部刺激症状。另外，防御反射丧失可能会引起角膜刺激和潜在擦伤。如果本品不慎进入眼睛，应立即用清水或氯化钠溶液冲洗眼睛，并保护眼睛直到感觉恢复。</w:t>
      </w:r>
    </w:p>
    <w:p>
      <w:pPr>
        <w:widowControl/>
        <w:adjustRightInd w:val="0"/>
        <w:snapToGrid w:val="0"/>
        <w:spacing w:line="360" w:lineRule="auto"/>
        <w:ind w:right="9"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特应性皮炎患者涂药时需谨慎，用药时间应缩短（至</w:t>
      </w:r>
      <w:r>
        <w:rPr>
          <w:rFonts w:ascii="Times New Roman" w:hAnsi="Times New Roman" w:eastAsia="宋体" w:cs="Times New Roman"/>
          <w:color w:val="000000"/>
          <w:kern w:val="0"/>
          <w:szCs w:val="21"/>
        </w:rPr>
        <w:t>15</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30</w:t>
      </w:r>
      <w:r>
        <w:rPr>
          <w:rFonts w:hint="eastAsia" w:ascii="Times New Roman" w:hAnsi="Times New Roman" w:eastAsia="宋体" w:cs="Times New Roman"/>
          <w:color w:val="000000"/>
          <w:kern w:val="0"/>
          <w:szCs w:val="21"/>
        </w:rPr>
        <w:t>分钟）。特应性皮炎患者用药时间超过</w:t>
      </w:r>
      <w:r>
        <w:rPr>
          <w:rFonts w:ascii="Times New Roman" w:hAnsi="Times New Roman" w:eastAsia="宋体" w:cs="Times New Roman"/>
          <w:color w:val="000000"/>
          <w:kern w:val="0"/>
          <w:szCs w:val="21"/>
        </w:rPr>
        <w:t>30</w:t>
      </w:r>
      <w:r>
        <w:rPr>
          <w:rFonts w:hint="eastAsia" w:ascii="Times New Roman" w:hAnsi="Times New Roman" w:eastAsia="宋体" w:cs="Times New Roman"/>
          <w:color w:val="000000"/>
          <w:kern w:val="0"/>
          <w:szCs w:val="21"/>
        </w:rPr>
        <w:t>分钟会导致局部血管反应发生率增加，尤其是用药部位发红，一些病例会出现瘀点和紫癜。</w:t>
      </w:r>
    </w:p>
    <w:p>
      <w:pPr>
        <w:widowControl/>
        <w:adjustRightInd w:val="0"/>
        <w:snapToGrid w:val="0"/>
        <w:spacing w:line="360" w:lineRule="auto"/>
        <w:ind w:right="9"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建议对特应性皮炎儿童进行传染性软疣挑除之前涂抹乳膏</w:t>
      </w:r>
      <w:r>
        <w:rPr>
          <w:rFonts w:ascii="Times New Roman" w:hAnsi="Times New Roman" w:eastAsia="宋体" w:cs="Times New Roman"/>
          <w:color w:val="000000"/>
          <w:kern w:val="0"/>
          <w:szCs w:val="21"/>
        </w:rPr>
        <w:t>30</w:t>
      </w:r>
      <w:r>
        <w:rPr>
          <w:rFonts w:hint="eastAsia" w:ascii="Times New Roman" w:hAnsi="Times New Roman" w:eastAsia="宋体" w:cs="Times New Roman"/>
          <w:color w:val="000000"/>
          <w:kern w:val="0"/>
          <w:szCs w:val="21"/>
        </w:rPr>
        <w:t>分钟。</w:t>
      </w:r>
    </w:p>
    <w:p>
      <w:pPr>
        <w:widowControl/>
        <w:adjustRightInd w:val="0"/>
        <w:snapToGrid w:val="0"/>
        <w:spacing w:line="360" w:lineRule="auto"/>
        <w:ind w:right="9"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研究表明本品不能缓解新生儿的足跟切口疼痛。</w:t>
      </w:r>
    </w:p>
    <w:p>
      <w:pPr>
        <w:widowControl/>
        <w:adjustRightInd w:val="0"/>
        <w:snapToGrid w:val="0"/>
        <w:spacing w:line="360" w:lineRule="auto"/>
        <w:ind w:right="9"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只研究了在</w:t>
      </w:r>
      <w:r>
        <w:rPr>
          <w:rFonts w:ascii="Times New Roman" w:hAnsi="Times New Roman" w:eastAsia="宋体" w:cs="Times New Roman"/>
          <w:color w:val="000000"/>
          <w:kern w:val="0"/>
          <w:szCs w:val="21"/>
        </w:rPr>
        <w:t>3</w:t>
      </w:r>
      <w:r>
        <w:rPr>
          <w:rFonts w:hint="eastAsia" w:ascii="Times New Roman" w:hAnsi="Times New Roman" w:eastAsia="宋体" w:cs="Times New Roman"/>
          <w:color w:val="000000"/>
          <w:kern w:val="0"/>
          <w:szCs w:val="21"/>
        </w:rPr>
        <w:t>个月以下婴儿中单剂量给予本品的安全性和疗效。在对这些婴儿涂药后</w:t>
      </w:r>
      <w:r>
        <w:rPr>
          <w:rFonts w:ascii="Times New Roman" w:hAnsi="Times New Roman" w:eastAsia="宋体" w:cs="Times New Roman"/>
          <w:color w:val="000000"/>
          <w:kern w:val="0"/>
          <w:szCs w:val="21"/>
        </w:rPr>
        <w:t>12</w:t>
      </w:r>
      <w:r>
        <w:rPr>
          <w:rFonts w:hint="eastAsia" w:ascii="Times New Roman" w:hAnsi="Times New Roman" w:eastAsia="宋体" w:cs="Times New Roman"/>
          <w:color w:val="000000"/>
          <w:kern w:val="0"/>
          <w:szCs w:val="21"/>
        </w:rPr>
        <w:t>小时内，通常可观察到高铁血红蛋白水平一过性升高。但是，这种升高很可能无临床意义。</w:t>
      </w:r>
    </w:p>
    <w:p>
      <w:pPr>
        <w:widowControl/>
        <w:adjustRightInd w:val="0"/>
        <w:snapToGrid w:val="0"/>
        <w:spacing w:line="360" w:lineRule="auto"/>
        <w:ind w:right="9"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本品不得用于受损的鼓膜或可能导致药物渗透至中耳的其它情况。本品不得用于开放性伤口。由于新刮伤皮肤可能会增强对药物的吸收，因此，需严格遵循推荐剂量中的用药面积和用药时间。</w:t>
      </w:r>
    </w:p>
    <w:p>
      <w:pPr>
        <w:widowControl/>
        <w:adjustRightInd w:val="0"/>
        <w:snapToGrid w:val="0"/>
        <w:spacing w:line="360" w:lineRule="auto"/>
        <w:ind w:right="9"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本品不得用于儿童生殖器粘膜，因为相关药物吸收的数据尚不完整。</w:t>
      </w:r>
    </w:p>
    <w:p>
      <w:pPr>
        <w:widowControl/>
        <w:adjustRightInd w:val="0"/>
        <w:snapToGrid w:val="0"/>
        <w:spacing w:line="360" w:lineRule="auto"/>
        <w:ind w:right="9"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在浓度大于</w:t>
      </w:r>
      <w:r>
        <w:rPr>
          <w:rFonts w:ascii="Times New Roman" w:hAnsi="Times New Roman" w:eastAsia="宋体" w:cs="Times New Roman"/>
          <w:color w:val="000000"/>
          <w:kern w:val="0"/>
          <w:szCs w:val="21"/>
        </w:rPr>
        <w:t>0.5</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2%</w:t>
      </w:r>
      <w:r>
        <w:rPr>
          <w:rFonts w:hint="eastAsia" w:ascii="Times New Roman" w:hAnsi="Times New Roman" w:eastAsia="宋体" w:cs="Times New Roman"/>
          <w:color w:val="000000"/>
          <w:kern w:val="0"/>
          <w:szCs w:val="21"/>
        </w:rPr>
        <w:t>时，利多卡因与丙胺卡因具有杀菌和抗病毒特性，因此，皮内注射活疫苗（如卡介苗）后应密切监测。</w:t>
      </w:r>
    </w:p>
    <w:p>
      <w:pPr>
        <w:widowControl/>
        <w:adjustRightInd w:val="0"/>
        <w:snapToGrid w:val="0"/>
        <w:spacing w:line="360" w:lineRule="auto"/>
        <w:ind w:right="9"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在获得更多临床经验之前，本品不得用于以下患者：</w:t>
      </w:r>
    </w:p>
    <w:p>
      <w:pPr>
        <w:widowControl/>
        <w:adjustRightInd w:val="0"/>
        <w:snapToGrid w:val="0"/>
        <w:spacing w:line="360" w:lineRule="auto"/>
        <w:ind w:right="9"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ab/>
      </w:r>
      <w:r>
        <w:rPr>
          <w:rFonts w:hint="eastAsia" w:ascii="Times New Roman" w:hAnsi="Times New Roman" w:eastAsia="宋体" w:cs="Times New Roman"/>
          <w:color w:val="000000"/>
          <w:kern w:val="0"/>
          <w:szCs w:val="21"/>
        </w:rPr>
        <w:t>正在接受高铁血红蛋白诱导剂治疗的</w:t>
      </w:r>
      <w:r>
        <w:rPr>
          <w:rFonts w:ascii="Times New Roman" w:hAnsi="Times New Roman" w:eastAsia="宋体" w:cs="Times New Roman"/>
          <w:color w:val="000000"/>
          <w:kern w:val="0"/>
          <w:szCs w:val="21"/>
        </w:rPr>
        <w:t>0</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12</w:t>
      </w:r>
      <w:r>
        <w:rPr>
          <w:rFonts w:hint="eastAsia" w:ascii="Times New Roman" w:hAnsi="Times New Roman" w:eastAsia="宋体" w:cs="Times New Roman"/>
          <w:color w:val="000000"/>
          <w:kern w:val="0"/>
          <w:szCs w:val="21"/>
        </w:rPr>
        <w:t>个月婴儿</w:t>
      </w:r>
    </w:p>
    <w:p>
      <w:pPr>
        <w:widowControl/>
        <w:adjustRightInd w:val="0"/>
        <w:snapToGrid w:val="0"/>
        <w:spacing w:line="360" w:lineRule="auto"/>
        <w:ind w:right="9"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ab/>
      </w:r>
      <w:r>
        <w:rPr>
          <w:rFonts w:hint="eastAsia" w:ascii="Times New Roman" w:hAnsi="Times New Roman" w:eastAsia="宋体" w:cs="Times New Roman"/>
          <w:color w:val="000000"/>
          <w:kern w:val="0"/>
          <w:szCs w:val="21"/>
        </w:rPr>
        <w:t>早产儿（在妊娠</w:t>
      </w:r>
      <w:r>
        <w:rPr>
          <w:rFonts w:ascii="Times New Roman" w:hAnsi="Times New Roman" w:eastAsia="宋体" w:cs="Times New Roman"/>
          <w:color w:val="000000"/>
          <w:kern w:val="0"/>
          <w:szCs w:val="21"/>
        </w:rPr>
        <w:t>37</w:t>
      </w:r>
      <w:r>
        <w:rPr>
          <w:rFonts w:hint="eastAsia" w:ascii="Times New Roman" w:hAnsi="Times New Roman" w:eastAsia="宋体" w:cs="Times New Roman"/>
          <w:color w:val="000000"/>
          <w:kern w:val="0"/>
          <w:szCs w:val="21"/>
        </w:rPr>
        <w:t>周前出生）</w:t>
      </w:r>
    </w:p>
    <w:p>
      <w:pPr>
        <w:widowControl/>
        <w:adjustRightInd w:val="0"/>
        <w:snapToGrid w:val="0"/>
        <w:spacing w:line="360" w:lineRule="auto"/>
        <w:ind w:right="9"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应对接受Ⅲ类抗心律失常药物（如胺碘酮）治疗的患者进行密切观察，并考虑给予心电图监测，因利多卡因与Ⅲ类抗心律失常药物合用时会产生叠加性心脏效应。</w:t>
      </w:r>
    </w:p>
    <w:p>
      <w:pPr>
        <w:widowControl/>
        <w:adjustRightInd w:val="0"/>
        <w:snapToGrid w:val="0"/>
        <w:spacing w:line="360" w:lineRule="auto"/>
        <w:ind w:right="9"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本品含聚氧乙烯</w:t>
      </w:r>
      <w:r>
        <w:rPr>
          <w:rFonts w:ascii="Times New Roman" w:hAnsi="Times New Roman" w:eastAsia="宋体" w:cs="Times New Roman"/>
          <w:color w:val="000000"/>
          <w:kern w:val="0"/>
          <w:szCs w:val="21"/>
        </w:rPr>
        <w:t>氢化蓖麻油</w:t>
      </w:r>
      <w:r>
        <w:rPr>
          <w:rFonts w:hint="eastAsia" w:ascii="Times New Roman" w:hAnsi="Times New Roman" w:eastAsia="宋体" w:cs="Times New Roman"/>
          <w:color w:val="000000"/>
          <w:kern w:val="0"/>
          <w:szCs w:val="21"/>
        </w:rPr>
        <w:t>，可能引起皮肤反应。</w:t>
      </w:r>
    </w:p>
    <w:p>
      <w:pPr>
        <w:widowControl/>
        <w:adjustRightInd w:val="0"/>
        <w:snapToGrid w:val="0"/>
        <w:spacing w:line="360" w:lineRule="auto"/>
        <w:ind w:right="9"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本品开封后应</w:t>
      </w:r>
      <w:r>
        <w:rPr>
          <w:rFonts w:ascii="Times New Roman" w:hAnsi="Times New Roman" w:eastAsia="宋体" w:cs="Times New Roman"/>
          <w:color w:val="000000"/>
          <w:kern w:val="0"/>
          <w:szCs w:val="21"/>
        </w:rPr>
        <w:t>30</w:t>
      </w:r>
      <w:r>
        <w:rPr>
          <w:rFonts w:hint="eastAsia" w:ascii="Times New Roman" w:hAnsi="Times New Roman" w:eastAsia="宋体" w:cs="Times New Roman"/>
          <w:color w:val="000000"/>
          <w:kern w:val="0"/>
          <w:szCs w:val="21"/>
        </w:rPr>
        <w:t>天内使用，过期应丢弃。</w:t>
      </w:r>
    </w:p>
    <w:p>
      <w:pPr>
        <w:widowControl/>
        <w:adjustRightInd w:val="0"/>
        <w:snapToGrid w:val="0"/>
        <w:spacing w:line="360" w:lineRule="auto"/>
        <w:ind w:right="9"/>
        <w:jc w:val="left"/>
        <w:rPr>
          <w:rFonts w:ascii="Times New Roman" w:hAnsi="Times New Roman" w:eastAsia="宋体" w:cs="Times New Roman"/>
          <w:b/>
          <w:color w:val="000000"/>
          <w:kern w:val="0"/>
          <w:szCs w:val="21"/>
        </w:rPr>
      </w:pPr>
      <w:r>
        <w:rPr>
          <w:rFonts w:hint="eastAsia" w:ascii="Times New Roman" w:hAnsi="Times New Roman" w:eastAsia="宋体" w:cs="Times New Roman"/>
          <w:b/>
          <w:color w:val="000000"/>
          <w:kern w:val="0"/>
          <w:szCs w:val="21"/>
        </w:rPr>
        <w:t>【孕妇及哺乳期妇女用药】</w:t>
      </w:r>
    </w:p>
    <w:p>
      <w:pPr>
        <w:widowControl/>
        <w:adjustRightInd w:val="0"/>
        <w:snapToGrid w:val="0"/>
        <w:spacing w:line="360" w:lineRule="auto"/>
        <w:ind w:right="11"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妊娠</w:t>
      </w:r>
    </w:p>
    <w:p>
      <w:pPr>
        <w:widowControl/>
        <w:adjustRightInd w:val="0"/>
        <w:snapToGrid w:val="0"/>
        <w:spacing w:line="360" w:lineRule="auto"/>
        <w:ind w:right="11"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有关利多卡因与丙胺卡因治疗孕妇的数据不足。</w:t>
      </w:r>
    </w:p>
    <w:p>
      <w:pPr>
        <w:widowControl/>
        <w:adjustRightInd w:val="0"/>
        <w:snapToGrid w:val="0"/>
        <w:spacing w:line="360" w:lineRule="auto"/>
        <w:ind w:right="11"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利多卡因和丙胺卡因可穿过胎盘，推测可能已有许多孕妇和育龄妇女使用过利多卡因和丙胺卡因。但是，尚未全面评估对人体的风险。</w:t>
      </w:r>
    </w:p>
    <w:p>
      <w:pPr>
        <w:widowControl/>
        <w:adjustRightInd w:val="0"/>
        <w:snapToGrid w:val="0"/>
        <w:spacing w:line="360" w:lineRule="auto"/>
        <w:ind w:right="11"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有关利多卡因和丙胺卡因对妊娠、胚胎</w:t>
      </w:r>
      <w:r>
        <w:rPr>
          <w:rFonts w:ascii="Times New Roman" w:hAnsi="Times New Roman" w:eastAsia="宋体" w:cs="Times New Roman"/>
          <w:color w:val="000000"/>
          <w:kern w:val="0"/>
          <w:szCs w:val="21"/>
        </w:rPr>
        <w:t>/</w:t>
      </w:r>
      <w:r>
        <w:rPr>
          <w:rFonts w:hint="eastAsia" w:ascii="Times New Roman" w:hAnsi="Times New Roman" w:eastAsia="宋体" w:cs="Times New Roman"/>
          <w:color w:val="000000"/>
          <w:kern w:val="0"/>
          <w:szCs w:val="21"/>
        </w:rPr>
        <w:t>胎儿发育、分娩和出生后发育的作用，动物研究数据不完整。</w:t>
      </w:r>
    </w:p>
    <w:p>
      <w:pPr>
        <w:widowControl/>
        <w:adjustRightInd w:val="0"/>
        <w:snapToGrid w:val="0"/>
        <w:spacing w:line="360" w:lineRule="auto"/>
        <w:ind w:right="11"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哺乳</w:t>
      </w:r>
    </w:p>
    <w:p>
      <w:pPr>
        <w:widowControl/>
        <w:adjustRightInd w:val="0"/>
        <w:snapToGrid w:val="0"/>
        <w:spacing w:line="360" w:lineRule="auto"/>
        <w:ind w:right="11"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少量利多卡因和丙胺卡因可分泌至乳汁中，推荐剂量下，对儿童不太可能产生作用。</w:t>
      </w:r>
    </w:p>
    <w:p>
      <w:pPr>
        <w:widowControl/>
        <w:adjustRightInd w:val="0"/>
        <w:snapToGrid w:val="0"/>
        <w:spacing w:line="360" w:lineRule="auto"/>
        <w:ind w:right="9"/>
        <w:jc w:val="left"/>
        <w:rPr>
          <w:rFonts w:ascii="Times New Roman" w:hAnsi="Times New Roman" w:eastAsia="宋体" w:cs="Times New Roman"/>
          <w:b/>
          <w:color w:val="000000"/>
          <w:kern w:val="0"/>
          <w:szCs w:val="21"/>
        </w:rPr>
      </w:pPr>
      <w:r>
        <w:rPr>
          <w:rFonts w:hint="eastAsia" w:ascii="Times New Roman" w:hAnsi="Times New Roman" w:eastAsia="宋体" w:cs="Times New Roman"/>
          <w:b/>
          <w:color w:val="000000"/>
          <w:kern w:val="0"/>
          <w:szCs w:val="21"/>
        </w:rPr>
        <w:t>【儿童用药】</w:t>
      </w:r>
    </w:p>
    <w:p>
      <w:pPr>
        <w:widowControl/>
        <w:adjustRightInd w:val="0"/>
        <w:snapToGrid w:val="0"/>
        <w:spacing w:line="360" w:lineRule="auto"/>
        <w:ind w:right="9"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见“用法用量”。</w:t>
      </w:r>
    </w:p>
    <w:p>
      <w:pPr>
        <w:widowControl/>
        <w:adjustRightInd w:val="0"/>
        <w:snapToGrid w:val="0"/>
        <w:spacing w:line="360" w:lineRule="auto"/>
        <w:ind w:right="9"/>
        <w:jc w:val="left"/>
        <w:rPr>
          <w:rFonts w:ascii="Times New Roman" w:hAnsi="Times New Roman" w:eastAsia="宋体" w:cs="Times New Roman"/>
          <w:b/>
          <w:color w:val="000000"/>
          <w:kern w:val="0"/>
          <w:szCs w:val="21"/>
        </w:rPr>
      </w:pPr>
      <w:r>
        <w:rPr>
          <w:rFonts w:hint="eastAsia" w:ascii="Times New Roman" w:hAnsi="Times New Roman" w:eastAsia="宋体" w:cs="Times New Roman"/>
          <w:b/>
          <w:color w:val="000000"/>
          <w:kern w:val="0"/>
          <w:szCs w:val="21"/>
        </w:rPr>
        <w:t>【老年用药】</w:t>
      </w:r>
    </w:p>
    <w:p>
      <w:pPr>
        <w:widowControl/>
        <w:adjustRightInd w:val="0"/>
        <w:snapToGrid w:val="0"/>
        <w:spacing w:line="360" w:lineRule="auto"/>
        <w:ind w:right="9"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临床试验中，本品涂于无损皮肤后，在老年患者（</w:t>
      </w:r>
      <w:r>
        <w:rPr>
          <w:rFonts w:ascii="Times New Roman" w:hAnsi="Times New Roman" w:eastAsia="宋体" w:cs="Times New Roman"/>
          <w:color w:val="000000"/>
          <w:kern w:val="0"/>
          <w:szCs w:val="21"/>
        </w:rPr>
        <w:t>65</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96</w:t>
      </w:r>
      <w:r>
        <w:rPr>
          <w:rFonts w:hint="eastAsia" w:ascii="Times New Roman" w:hAnsi="Times New Roman" w:eastAsia="宋体" w:cs="Times New Roman"/>
          <w:color w:val="000000"/>
          <w:kern w:val="0"/>
          <w:szCs w:val="21"/>
        </w:rPr>
        <w:t>岁）与年轻患者中未观察到安全性或疗效（包括麻醉时间）差异。</w:t>
      </w:r>
    </w:p>
    <w:p>
      <w:pPr>
        <w:widowControl/>
        <w:adjustRightInd w:val="0"/>
        <w:snapToGrid w:val="0"/>
        <w:spacing w:line="360" w:lineRule="auto"/>
        <w:ind w:right="9"/>
        <w:jc w:val="left"/>
        <w:rPr>
          <w:rFonts w:ascii="Times New Roman" w:hAnsi="Times New Roman" w:eastAsia="宋体" w:cs="Times New Roman"/>
          <w:b/>
          <w:color w:val="000000"/>
          <w:kern w:val="0"/>
          <w:szCs w:val="21"/>
        </w:rPr>
      </w:pPr>
      <w:r>
        <w:rPr>
          <w:rFonts w:hint="eastAsia" w:ascii="Times New Roman" w:hAnsi="Times New Roman" w:eastAsia="宋体" w:cs="Times New Roman"/>
          <w:b/>
          <w:color w:val="000000"/>
          <w:kern w:val="0"/>
          <w:szCs w:val="21"/>
        </w:rPr>
        <w:t>【药物相互作用】</w:t>
      </w:r>
    </w:p>
    <w:p>
      <w:pPr>
        <w:adjustRightInd w:val="0"/>
        <w:snapToGrid w:val="0"/>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对于正在接受某些高铁血红蛋白诱导剂（如磺胺类药）治疗的患者，本品可能增加高铁血红蛋白的形成。</w:t>
      </w:r>
    </w:p>
    <w:p>
      <w:pPr>
        <w:adjustRightInd w:val="0"/>
        <w:snapToGrid w:val="0"/>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对正在接受局麻药或结构与局麻药相似的制剂（如妥卡尼）治疗的患者，在使用大剂量的本品时，应考虑产生叠加性全身效应的风险。</w:t>
      </w:r>
    </w:p>
    <w:p>
      <w:pPr>
        <w:adjustRightInd w:val="0"/>
        <w:snapToGrid w:val="0"/>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尚未开展局麻药和</w:t>
      </w:r>
      <w:r>
        <w:rPr>
          <w:rFonts w:ascii="Times New Roman" w:hAnsi="Times New Roman" w:eastAsia="宋体" w:cs="Times New Roman"/>
          <w:szCs w:val="21"/>
        </w:rPr>
        <w:t>III</w:t>
      </w:r>
      <w:r>
        <w:rPr>
          <w:rFonts w:hint="eastAsia" w:ascii="Times New Roman" w:hAnsi="Times New Roman" w:eastAsia="宋体" w:cs="Times New Roman"/>
          <w:szCs w:val="21"/>
        </w:rPr>
        <w:t>类抗心律失常药物（如胺碘酮）之间相互作用的专门研究，但建议应慎用。</w:t>
      </w:r>
    </w:p>
    <w:p>
      <w:pPr>
        <w:adjustRightInd w:val="0"/>
        <w:snapToGrid w:val="0"/>
        <w:spacing w:line="360" w:lineRule="auto"/>
        <w:ind w:firstLine="420" w:firstLineChars="200"/>
        <w:rPr>
          <w:rFonts w:ascii="Times New Roman" w:hAnsi="Times New Roman" w:eastAsia="宋体" w:cs="Times New Roman"/>
          <w:kern w:val="0"/>
          <w:szCs w:val="21"/>
        </w:rPr>
      </w:pPr>
      <w:r>
        <w:rPr>
          <w:rFonts w:hint="eastAsia" w:ascii="Times New Roman" w:hAnsi="Times New Roman" w:eastAsia="宋体" w:cs="Times New Roman"/>
          <w:szCs w:val="21"/>
        </w:rPr>
        <w:t>长时间反复给予高剂量的利多卡因，再给予可降低利多卡因清除率的药物（如西咪替丁或</w:t>
      </w:r>
      <w:r>
        <w:rPr>
          <w:rFonts w:ascii="Times New Roman" w:hAnsi="Times New Roman" w:eastAsia="宋体" w:cs="Times New Roman"/>
          <w:szCs w:val="21"/>
        </w:rPr>
        <w:t>β-</w:t>
      </w:r>
      <w:r>
        <w:rPr>
          <w:rFonts w:hint="eastAsia" w:ascii="Times New Roman" w:hAnsi="Times New Roman" w:eastAsia="宋体" w:cs="Times New Roman"/>
          <w:szCs w:val="21"/>
        </w:rPr>
        <w:t>受体阻滞剂），可能会产生毒性血浆浓度。当短期使用推荐剂量的利多卡因治疗时，上述相互作用无临床意义。</w:t>
      </w:r>
    </w:p>
    <w:p>
      <w:pPr>
        <w:widowControl/>
        <w:adjustRightInd w:val="0"/>
        <w:snapToGrid w:val="0"/>
        <w:spacing w:line="360" w:lineRule="auto"/>
        <w:jc w:val="left"/>
        <w:rPr>
          <w:rFonts w:ascii="Times New Roman" w:hAnsi="Times New Roman" w:eastAsia="宋体" w:cs="Times New Roman"/>
          <w:b/>
          <w:color w:val="000000"/>
          <w:kern w:val="0"/>
          <w:szCs w:val="21"/>
        </w:rPr>
      </w:pPr>
      <w:r>
        <w:rPr>
          <w:rFonts w:hint="eastAsia" w:ascii="Times New Roman" w:hAnsi="Times New Roman" w:eastAsia="宋体" w:cs="Times New Roman"/>
          <w:b/>
          <w:color w:val="000000"/>
          <w:kern w:val="0"/>
          <w:szCs w:val="21"/>
        </w:rPr>
        <w:t>【药物过量】</w:t>
      </w:r>
    </w:p>
    <w:p>
      <w:pPr>
        <w:widowControl/>
        <w:spacing w:line="360" w:lineRule="auto"/>
        <w:ind w:right="9"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正常使用本品情况下，极少产生全身毒性。预期可能的毒性症状与使用其他局麻药后观察到的症状相似，即中枢神经系统兴奋症状，严重病例表现为中枢神经系统抑制和心肌抑制。</w:t>
      </w:r>
    </w:p>
    <w:p>
      <w:pPr>
        <w:widowControl/>
        <w:spacing w:line="360" w:lineRule="auto"/>
        <w:ind w:right="9"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据报道，罕见有临床意义的高铁血红蛋白血症病例。高剂量丙胺卡因可增加高铁血红蛋白水平。</w:t>
      </w:r>
      <w:r>
        <w:rPr>
          <w:rFonts w:ascii="Times New Roman" w:hAnsi="Times New Roman" w:eastAsia="宋体" w:cs="Times New Roman"/>
          <w:color w:val="000000"/>
          <w:kern w:val="0"/>
          <w:szCs w:val="21"/>
        </w:rPr>
        <w:t>3</w:t>
      </w:r>
      <w:r>
        <w:rPr>
          <w:rFonts w:hint="eastAsia" w:ascii="Times New Roman" w:hAnsi="Times New Roman" w:eastAsia="宋体" w:cs="Times New Roman"/>
          <w:color w:val="000000"/>
          <w:kern w:val="0"/>
          <w:szCs w:val="21"/>
        </w:rPr>
        <w:t>个月儿童局部涂抹</w:t>
      </w:r>
      <w:r>
        <w:rPr>
          <w:rFonts w:ascii="Times New Roman" w:hAnsi="Times New Roman" w:eastAsia="宋体" w:cs="Times New Roman"/>
          <w:color w:val="000000"/>
          <w:kern w:val="0"/>
          <w:szCs w:val="21"/>
        </w:rPr>
        <w:t>125mg</w:t>
      </w:r>
      <w:r>
        <w:rPr>
          <w:rFonts w:hint="eastAsia" w:ascii="Times New Roman" w:hAnsi="Times New Roman" w:eastAsia="宋体" w:cs="Times New Roman"/>
          <w:color w:val="000000"/>
          <w:kern w:val="0"/>
          <w:szCs w:val="21"/>
        </w:rPr>
        <w:t>丙胺卡因</w:t>
      </w:r>
      <w:r>
        <w:rPr>
          <w:rFonts w:ascii="Times New Roman" w:hAnsi="Times New Roman" w:eastAsia="宋体" w:cs="Times New Roman"/>
          <w:color w:val="000000"/>
          <w:kern w:val="0"/>
          <w:szCs w:val="21"/>
        </w:rPr>
        <w:t>5</w:t>
      </w:r>
      <w:r>
        <w:rPr>
          <w:rFonts w:hint="eastAsia" w:ascii="Times New Roman" w:hAnsi="Times New Roman" w:eastAsia="宋体" w:cs="Times New Roman"/>
          <w:color w:val="000000"/>
          <w:kern w:val="0"/>
          <w:szCs w:val="21"/>
        </w:rPr>
        <w:t>小时后，发生中度高铁血红蛋白血症。婴儿局部涂抹</w:t>
      </w:r>
      <w:r>
        <w:rPr>
          <w:rFonts w:ascii="Times New Roman" w:hAnsi="Times New Roman" w:eastAsia="宋体" w:cs="Times New Roman"/>
          <w:color w:val="000000"/>
          <w:kern w:val="0"/>
          <w:szCs w:val="21"/>
        </w:rPr>
        <w:t>8.6</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17.2mg/kg</w:t>
      </w:r>
      <w:r>
        <w:rPr>
          <w:rFonts w:hint="eastAsia" w:ascii="Times New Roman" w:hAnsi="Times New Roman" w:eastAsia="宋体" w:cs="Times New Roman"/>
          <w:color w:val="000000"/>
          <w:kern w:val="0"/>
          <w:szCs w:val="21"/>
        </w:rPr>
        <w:t>利多卡因后，出现非常严重的中毒现象。</w:t>
      </w:r>
    </w:p>
    <w:p>
      <w:pPr>
        <w:widowControl/>
        <w:spacing w:line="360" w:lineRule="auto"/>
        <w:ind w:right="9"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严重的神经系统症状（惊厥、中枢神经系统抑制）必须给予对症治疗，如辅助通气和抗惊厥药物。高铁血红蛋白血症可通过亚甲基蓝治疗。由于全身吸收缓慢，具有毒性症状的患者在对症治疗后，应观察数小时。</w:t>
      </w:r>
    </w:p>
    <w:p>
      <w:pPr>
        <w:widowControl/>
        <w:spacing w:line="360" w:lineRule="auto"/>
        <w:rPr>
          <w:rFonts w:ascii="Times New Roman" w:hAnsi="Times New Roman" w:eastAsia="宋体" w:cs="Times New Roman"/>
          <w:b/>
          <w:color w:val="000000"/>
          <w:kern w:val="0"/>
          <w:szCs w:val="21"/>
        </w:rPr>
      </w:pPr>
      <w:r>
        <w:rPr>
          <w:rFonts w:hint="eastAsia" w:ascii="Times New Roman" w:hAnsi="Times New Roman" w:eastAsia="宋体" w:cs="Times New Roman"/>
          <w:b/>
          <w:color w:val="000000"/>
          <w:kern w:val="0"/>
          <w:szCs w:val="21"/>
        </w:rPr>
        <w:t>【药理毒理】</w:t>
      </w:r>
    </w:p>
    <w:p>
      <w:pPr>
        <w:widowControl/>
        <w:spacing w:line="360" w:lineRule="auto"/>
        <w:ind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药理作用：</w:t>
      </w:r>
    </w:p>
    <w:p>
      <w:pPr>
        <w:widowControl/>
        <w:spacing w:line="360" w:lineRule="auto"/>
        <w:ind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利丙双卡因乳膏含利多卡因与丙胺卡因，二者均为酰胺类局麻药。利丙双卡因乳膏中释放出的利多卡因和丙胺卡因渗透至皮肤的表皮和真皮层，并在真皮层痛觉感受器和神经末稍附近积聚，达到麻醉皮肤的作用。利多卡因和丙胺卡因均通过抑制神经冲动启动和传导所需的离子通量来稳定神经细胞膜，从而产生局部麻醉作用。麻醉效果取决于用药时间和剂量。</w:t>
      </w:r>
    </w:p>
    <w:p>
      <w:pPr>
        <w:widowControl/>
        <w:spacing w:line="360" w:lineRule="auto"/>
        <w:ind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本品用于完整皮肤并覆盖封闭敷膜。完整皮肤达到可靠麻醉作用需用药</w:t>
      </w:r>
      <w:r>
        <w:rPr>
          <w:rFonts w:ascii="Times New Roman" w:hAnsi="Times New Roman" w:eastAsia="宋体" w:cs="Times New Roman"/>
          <w:color w:val="000000"/>
          <w:kern w:val="0"/>
          <w:szCs w:val="21"/>
        </w:rPr>
        <w:t>1</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2</w:t>
      </w:r>
      <w:r>
        <w:rPr>
          <w:rFonts w:hint="eastAsia" w:ascii="Times New Roman" w:hAnsi="Times New Roman" w:eastAsia="宋体" w:cs="Times New Roman"/>
          <w:color w:val="000000"/>
          <w:kern w:val="0"/>
          <w:szCs w:val="21"/>
        </w:rPr>
        <w:t>小时，具体取决于不同给药程序。除面部和男性生殖器皮肤外，身体大部分部位的局部麻醉作用随用药时间延长（从</w:t>
      </w:r>
      <w:r>
        <w:rPr>
          <w:rFonts w:ascii="Times New Roman" w:hAnsi="Times New Roman" w:eastAsia="宋体" w:cs="Times New Roman"/>
          <w:color w:val="000000"/>
          <w:kern w:val="0"/>
          <w:szCs w:val="21"/>
        </w:rPr>
        <w:t>1</w:t>
      </w:r>
      <w:r>
        <w:rPr>
          <w:rFonts w:hint="eastAsia" w:ascii="Times New Roman" w:hAnsi="Times New Roman" w:eastAsia="宋体" w:cs="Times New Roman"/>
          <w:color w:val="000000"/>
          <w:kern w:val="0"/>
          <w:szCs w:val="21"/>
        </w:rPr>
        <w:t>小时至</w:t>
      </w:r>
      <w:r>
        <w:rPr>
          <w:rFonts w:ascii="Times New Roman" w:hAnsi="Times New Roman" w:eastAsia="宋体" w:cs="Times New Roman"/>
          <w:color w:val="000000"/>
          <w:kern w:val="0"/>
          <w:szCs w:val="21"/>
        </w:rPr>
        <w:t>2</w:t>
      </w:r>
      <w:r>
        <w:rPr>
          <w:rFonts w:hint="eastAsia" w:ascii="Times New Roman" w:hAnsi="Times New Roman" w:eastAsia="宋体" w:cs="Times New Roman"/>
          <w:color w:val="000000"/>
          <w:kern w:val="0"/>
          <w:szCs w:val="21"/>
        </w:rPr>
        <w:t>小时）而提高。由于面部皮肤较薄和组织血流量较高，前额和脸颊部位可在用药</w:t>
      </w:r>
      <w:r>
        <w:rPr>
          <w:rFonts w:ascii="Times New Roman" w:hAnsi="Times New Roman" w:eastAsia="宋体" w:cs="Times New Roman"/>
          <w:color w:val="000000"/>
          <w:kern w:val="0"/>
          <w:szCs w:val="21"/>
        </w:rPr>
        <w:t>30</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60</w:t>
      </w:r>
      <w:r>
        <w:rPr>
          <w:rFonts w:hint="eastAsia" w:ascii="Times New Roman" w:hAnsi="Times New Roman" w:eastAsia="宋体" w:cs="Times New Roman"/>
          <w:color w:val="000000"/>
          <w:kern w:val="0"/>
          <w:szCs w:val="21"/>
        </w:rPr>
        <w:t>分钟后达到最大的局部麻醉作用。与此相似，男性生殖器在用药</w:t>
      </w:r>
      <w:r>
        <w:rPr>
          <w:rFonts w:ascii="Times New Roman" w:hAnsi="Times New Roman" w:eastAsia="宋体" w:cs="Times New Roman"/>
          <w:color w:val="000000"/>
          <w:kern w:val="0"/>
          <w:szCs w:val="21"/>
        </w:rPr>
        <w:t>15</w:t>
      </w:r>
      <w:r>
        <w:rPr>
          <w:rFonts w:hint="eastAsia" w:ascii="Times New Roman" w:hAnsi="Times New Roman" w:eastAsia="宋体" w:cs="Times New Roman"/>
          <w:color w:val="000000"/>
          <w:kern w:val="0"/>
          <w:szCs w:val="21"/>
        </w:rPr>
        <w:t>分钟后可实现局部麻醉。除面部作用维持时间较短之外，本品涂药</w:t>
      </w:r>
      <w:r>
        <w:rPr>
          <w:rFonts w:ascii="Times New Roman" w:hAnsi="Times New Roman" w:eastAsia="宋体" w:cs="Times New Roman"/>
          <w:color w:val="000000"/>
          <w:kern w:val="0"/>
          <w:szCs w:val="21"/>
        </w:rPr>
        <w:t>1</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2</w:t>
      </w:r>
      <w:r>
        <w:rPr>
          <w:rFonts w:hint="eastAsia" w:ascii="Times New Roman" w:hAnsi="Times New Roman" w:eastAsia="宋体" w:cs="Times New Roman"/>
          <w:color w:val="000000"/>
          <w:kern w:val="0"/>
          <w:szCs w:val="21"/>
        </w:rPr>
        <w:t>小时后，麻醉作用在去除敷膜后至少维持</w:t>
      </w:r>
      <w:r>
        <w:rPr>
          <w:rFonts w:ascii="Times New Roman" w:hAnsi="Times New Roman" w:eastAsia="宋体" w:cs="Times New Roman"/>
          <w:color w:val="000000"/>
          <w:kern w:val="0"/>
          <w:szCs w:val="21"/>
        </w:rPr>
        <w:t>2</w:t>
      </w:r>
      <w:r>
        <w:rPr>
          <w:rFonts w:hint="eastAsia" w:ascii="Times New Roman" w:hAnsi="Times New Roman" w:eastAsia="宋体" w:cs="Times New Roman"/>
          <w:color w:val="000000"/>
          <w:kern w:val="0"/>
          <w:szCs w:val="21"/>
        </w:rPr>
        <w:t>小时。本品用于浅色至深色的不同色素皮肤（</w:t>
      </w:r>
      <w:r>
        <w:rPr>
          <w:rFonts w:hint="eastAsia" w:ascii="宋体" w:hAnsi="宋体" w:eastAsia="宋体" w:cs="宋体"/>
          <w:color w:val="000000"/>
          <w:kern w:val="0"/>
          <w:szCs w:val="21"/>
        </w:rPr>
        <w:t>Ⅰ</w:t>
      </w:r>
      <w:r>
        <w:rPr>
          <w:rFonts w:hint="eastAsia" w:ascii="Times New Roman" w:hAnsi="Times New Roman" w:eastAsia="宋体" w:cs="Times New Roman"/>
          <w:color w:val="000000"/>
          <w:kern w:val="0"/>
          <w:szCs w:val="21"/>
        </w:rPr>
        <w:t>至</w:t>
      </w:r>
      <w:r>
        <w:rPr>
          <w:rFonts w:hint="eastAsia" w:ascii="宋体" w:hAnsi="宋体" w:eastAsia="宋体" w:cs="宋体"/>
          <w:color w:val="000000"/>
          <w:kern w:val="0"/>
          <w:szCs w:val="21"/>
        </w:rPr>
        <w:t>Ⅵ</w:t>
      </w:r>
      <w:r>
        <w:rPr>
          <w:rFonts w:hint="eastAsia" w:ascii="Times New Roman" w:hAnsi="Times New Roman" w:eastAsia="宋体" w:cs="Times New Roman"/>
          <w:color w:val="000000"/>
          <w:kern w:val="0"/>
          <w:szCs w:val="21"/>
        </w:rPr>
        <w:t>型皮肤）的疗效和麻醉起效时间相同。在完整皮肤的临床试验中，本品在老年患者（</w:t>
      </w:r>
      <w:r>
        <w:rPr>
          <w:rFonts w:ascii="Times New Roman" w:hAnsi="Times New Roman" w:eastAsia="宋体" w:cs="Times New Roman"/>
          <w:color w:val="000000"/>
          <w:kern w:val="0"/>
          <w:szCs w:val="21"/>
        </w:rPr>
        <w:t>65</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96</w:t>
      </w:r>
      <w:r>
        <w:rPr>
          <w:rFonts w:hint="eastAsia" w:ascii="Times New Roman" w:hAnsi="Times New Roman" w:eastAsia="宋体" w:cs="Times New Roman"/>
          <w:color w:val="000000"/>
          <w:kern w:val="0"/>
          <w:szCs w:val="21"/>
        </w:rPr>
        <w:t>岁）和年轻患者中未观察到安全性或疗效（包括麻醉起效时间）的差异。</w:t>
      </w:r>
    </w:p>
    <w:p>
      <w:pPr>
        <w:widowControl/>
        <w:spacing w:line="360" w:lineRule="auto"/>
        <w:ind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本品可产生双相血管反应，用药部位血管在用药初期收缩，随后舒张。特应性皮炎患者会出现相似但时间较短的血管反应，在用药</w:t>
      </w:r>
      <w:r>
        <w:rPr>
          <w:rFonts w:ascii="Times New Roman" w:hAnsi="Times New Roman" w:eastAsia="宋体" w:cs="Times New Roman"/>
          <w:color w:val="000000"/>
          <w:kern w:val="0"/>
          <w:szCs w:val="21"/>
        </w:rPr>
        <w:t>30</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60</w:t>
      </w:r>
      <w:r>
        <w:rPr>
          <w:rFonts w:hint="eastAsia" w:ascii="Times New Roman" w:hAnsi="Times New Roman" w:eastAsia="宋体" w:cs="Times New Roman"/>
          <w:color w:val="000000"/>
          <w:kern w:val="0"/>
          <w:szCs w:val="21"/>
        </w:rPr>
        <w:t>分钟后出现红斑，表明这类皮肤吸收药物更快。</w:t>
      </w:r>
    </w:p>
    <w:p>
      <w:pPr>
        <w:widowControl/>
        <w:spacing w:line="360" w:lineRule="auto"/>
        <w:ind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皮肤麻醉深度随用药时间延长而增加。在</w:t>
      </w:r>
      <w:r>
        <w:rPr>
          <w:rFonts w:ascii="Times New Roman" w:hAnsi="Times New Roman" w:eastAsia="宋体" w:cs="Times New Roman"/>
          <w:color w:val="000000"/>
          <w:kern w:val="0"/>
          <w:szCs w:val="21"/>
        </w:rPr>
        <w:t>90%</w:t>
      </w:r>
      <w:r>
        <w:rPr>
          <w:rFonts w:hint="eastAsia" w:ascii="Times New Roman" w:hAnsi="Times New Roman" w:eastAsia="宋体" w:cs="Times New Roman"/>
          <w:color w:val="000000"/>
          <w:kern w:val="0"/>
          <w:szCs w:val="21"/>
        </w:rPr>
        <w:t>的患者中分别敷药</w:t>
      </w:r>
      <w:r>
        <w:rPr>
          <w:rFonts w:ascii="Times New Roman" w:hAnsi="Times New Roman" w:eastAsia="宋体" w:cs="Times New Roman"/>
          <w:color w:val="000000"/>
          <w:kern w:val="0"/>
          <w:szCs w:val="21"/>
        </w:rPr>
        <w:t>60</w:t>
      </w:r>
      <w:r>
        <w:rPr>
          <w:rFonts w:hint="eastAsia" w:ascii="Times New Roman" w:hAnsi="Times New Roman" w:eastAsia="宋体" w:cs="Times New Roman"/>
          <w:color w:val="000000"/>
          <w:kern w:val="0"/>
          <w:szCs w:val="21"/>
        </w:rPr>
        <w:t>分钟和</w:t>
      </w:r>
      <w:r>
        <w:rPr>
          <w:rFonts w:ascii="Times New Roman" w:hAnsi="Times New Roman" w:eastAsia="宋体" w:cs="Times New Roman"/>
          <w:color w:val="000000"/>
          <w:kern w:val="0"/>
          <w:szCs w:val="21"/>
        </w:rPr>
        <w:t>120</w:t>
      </w:r>
      <w:r>
        <w:rPr>
          <w:rFonts w:hint="eastAsia" w:ascii="Times New Roman" w:hAnsi="Times New Roman" w:eastAsia="宋体" w:cs="Times New Roman"/>
          <w:color w:val="000000"/>
          <w:kern w:val="0"/>
          <w:szCs w:val="21"/>
        </w:rPr>
        <w:t>分钟后产生的麻醉，足以用于活检穿刺针（直径</w:t>
      </w:r>
      <w:r>
        <w:rPr>
          <w:rFonts w:ascii="Times New Roman" w:hAnsi="Times New Roman" w:eastAsia="宋体" w:cs="Times New Roman"/>
          <w:color w:val="000000"/>
          <w:kern w:val="0"/>
          <w:szCs w:val="21"/>
        </w:rPr>
        <w:t>4mm</w:t>
      </w:r>
      <w:r>
        <w:rPr>
          <w:rFonts w:hint="eastAsia" w:ascii="Times New Roman" w:hAnsi="Times New Roman" w:eastAsia="宋体" w:cs="Times New Roman"/>
          <w:color w:val="000000"/>
          <w:kern w:val="0"/>
          <w:szCs w:val="21"/>
        </w:rPr>
        <w:t>）分别插入至</w:t>
      </w:r>
      <w:r>
        <w:rPr>
          <w:rFonts w:ascii="Times New Roman" w:hAnsi="Times New Roman" w:eastAsia="宋体" w:cs="Times New Roman"/>
          <w:color w:val="000000"/>
          <w:kern w:val="0"/>
          <w:szCs w:val="21"/>
        </w:rPr>
        <w:t>2mm</w:t>
      </w:r>
      <w:r>
        <w:rPr>
          <w:rFonts w:hint="eastAsia" w:ascii="Times New Roman" w:hAnsi="Times New Roman" w:eastAsia="宋体" w:cs="Times New Roman"/>
          <w:color w:val="000000"/>
          <w:kern w:val="0"/>
          <w:szCs w:val="21"/>
        </w:rPr>
        <w:t>和</w:t>
      </w:r>
      <w:r>
        <w:rPr>
          <w:rFonts w:ascii="Times New Roman" w:hAnsi="Times New Roman" w:eastAsia="宋体" w:cs="Times New Roman"/>
          <w:color w:val="000000"/>
          <w:kern w:val="0"/>
          <w:szCs w:val="21"/>
        </w:rPr>
        <w:t>3mm</w:t>
      </w:r>
      <w:r>
        <w:rPr>
          <w:rFonts w:hint="eastAsia" w:ascii="Times New Roman" w:hAnsi="Times New Roman" w:eastAsia="宋体" w:cs="Times New Roman"/>
          <w:color w:val="000000"/>
          <w:kern w:val="0"/>
          <w:szCs w:val="21"/>
        </w:rPr>
        <w:t>的深度。</w:t>
      </w:r>
    </w:p>
    <w:p>
      <w:pPr>
        <w:widowControl/>
        <w:spacing w:line="360" w:lineRule="auto"/>
        <w:ind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与皮肤给药相比，生殖器粘膜的药物吸收更快，麻醉起效时间更短。女性生殖器粘膜使用本品</w:t>
      </w:r>
      <w:r>
        <w:rPr>
          <w:rFonts w:ascii="Times New Roman" w:hAnsi="Times New Roman" w:eastAsia="宋体" w:cs="Times New Roman"/>
          <w:color w:val="000000"/>
          <w:kern w:val="0"/>
          <w:szCs w:val="21"/>
        </w:rPr>
        <w:t>5</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10</w:t>
      </w:r>
      <w:r>
        <w:rPr>
          <w:rFonts w:hint="eastAsia" w:ascii="Times New Roman" w:hAnsi="Times New Roman" w:eastAsia="宋体" w:cs="Times New Roman"/>
          <w:color w:val="000000"/>
          <w:kern w:val="0"/>
          <w:szCs w:val="21"/>
        </w:rPr>
        <w:t>分钟后，对于氩激光束导致的尖锐刺痛的平均有效麻醉时间为</w:t>
      </w:r>
      <w:r>
        <w:rPr>
          <w:rFonts w:ascii="Times New Roman" w:hAnsi="Times New Roman" w:eastAsia="宋体" w:cs="Times New Roman"/>
          <w:color w:val="000000"/>
          <w:kern w:val="0"/>
          <w:szCs w:val="21"/>
        </w:rPr>
        <w:t>15</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20</w:t>
      </w:r>
      <w:r>
        <w:rPr>
          <w:rFonts w:hint="eastAsia" w:ascii="Times New Roman" w:hAnsi="Times New Roman" w:eastAsia="宋体" w:cs="Times New Roman"/>
          <w:color w:val="000000"/>
          <w:kern w:val="0"/>
          <w:szCs w:val="21"/>
        </w:rPr>
        <w:t>分钟（个体间差异在</w:t>
      </w:r>
      <w:r>
        <w:rPr>
          <w:rFonts w:ascii="Times New Roman" w:hAnsi="Times New Roman" w:eastAsia="宋体" w:cs="Times New Roman"/>
          <w:color w:val="000000"/>
          <w:kern w:val="0"/>
          <w:szCs w:val="21"/>
        </w:rPr>
        <w:t>5</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45</w:t>
      </w:r>
      <w:r>
        <w:rPr>
          <w:rFonts w:hint="eastAsia" w:ascii="Times New Roman" w:hAnsi="Times New Roman" w:eastAsia="宋体" w:cs="Times New Roman"/>
          <w:color w:val="000000"/>
          <w:kern w:val="0"/>
          <w:szCs w:val="21"/>
        </w:rPr>
        <w:t>分钟范围）。</w:t>
      </w:r>
    </w:p>
    <w:p>
      <w:pPr>
        <w:widowControl/>
        <w:spacing w:line="360" w:lineRule="auto"/>
        <w:ind w:right="11"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对于腿部溃疡，大多数患者在用药</w:t>
      </w:r>
      <w:r>
        <w:rPr>
          <w:rFonts w:ascii="Times New Roman" w:hAnsi="Times New Roman" w:eastAsia="宋体" w:cs="Times New Roman"/>
          <w:color w:val="000000"/>
          <w:kern w:val="0"/>
          <w:szCs w:val="21"/>
        </w:rPr>
        <w:t>30</w:t>
      </w:r>
      <w:r>
        <w:rPr>
          <w:rFonts w:hint="eastAsia" w:ascii="Times New Roman" w:hAnsi="Times New Roman" w:eastAsia="宋体" w:cs="Times New Roman"/>
          <w:color w:val="000000"/>
          <w:kern w:val="0"/>
          <w:szCs w:val="21"/>
        </w:rPr>
        <w:t>分钟后可达到用于清洁腿部溃疡的可靠麻醉，用药</w:t>
      </w:r>
      <w:r>
        <w:rPr>
          <w:rFonts w:ascii="Times New Roman" w:hAnsi="Times New Roman" w:eastAsia="宋体" w:cs="Times New Roman"/>
          <w:color w:val="000000"/>
          <w:kern w:val="0"/>
          <w:szCs w:val="21"/>
        </w:rPr>
        <w:t>60</w:t>
      </w:r>
      <w:r>
        <w:rPr>
          <w:rFonts w:hint="eastAsia" w:ascii="Times New Roman" w:hAnsi="Times New Roman" w:eastAsia="宋体" w:cs="Times New Roman"/>
          <w:color w:val="000000"/>
          <w:kern w:val="0"/>
          <w:szCs w:val="21"/>
        </w:rPr>
        <w:t>分钟可进一步提高麻醉效果。应在去掉乳膏后</w:t>
      </w:r>
      <w:r>
        <w:rPr>
          <w:rFonts w:ascii="Times New Roman" w:hAnsi="Times New Roman" w:eastAsia="宋体" w:cs="Times New Roman"/>
          <w:color w:val="000000"/>
          <w:kern w:val="0"/>
          <w:szCs w:val="21"/>
        </w:rPr>
        <w:t>10</w:t>
      </w:r>
      <w:r>
        <w:rPr>
          <w:rFonts w:hint="eastAsia" w:ascii="Times New Roman" w:hAnsi="Times New Roman" w:eastAsia="宋体" w:cs="Times New Roman"/>
          <w:color w:val="000000"/>
          <w:kern w:val="0"/>
          <w:szCs w:val="21"/>
        </w:rPr>
        <w:t>分钟内开始清创操作，未获得更长等待时间的临床数据。在清创术后本品可减少术后疼痛达</w:t>
      </w:r>
      <w:r>
        <w:rPr>
          <w:rFonts w:ascii="Times New Roman" w:hAnsi="Times New Roman" w:eastAsia="宋体" w:cs="Times New Roman"/>
          <w:color w:val="000000"/>
          <w:kern w:val="0"/>
          <w:szCs w:val="21"/>
        </w:rPr>
        <w:t>4</w:t>
      </w:r>
      <w:r>
        <w:rPr>
          <w:rFonts w:hint="eastAsia" w:ascii="Times New Roman" w:hAnsi="Times New Roman" w:eastAsia="宋体" w:cs="Times New Roman"/>
          <w:color w:val="000000"/>
          <w:kern w:val="0"/>
          <w:szCs w:val="21"/>
        </w:rPr>
        <w:t>小时。未见本品对溃疡愈合或菌群产生不良影响。</w:t>
      </w:r>
    </w:p>
    <w:p>
      <w:pPr>
        <w:widowControl/>
        <w:spacing w:line="36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毒理研究：</w:t>
      </w:r>
    </w:p>
    <w:p>
      <w:pPr>
        <w:widowControl/>
        <w:spacing w:line="36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遗传毒性</w:t>
      </w:r>
    </w:p>
    <w:p>
      <w:pPr>
        <w:widowControl/>
        <w:spacing w:line="36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利多卡因：盐酸利多卡因</w:t>
      </w:r>
      <w:r>
        <w:rPr>
          <w:rFonts w:ascii="Times New Roman" w:hAnsi="Times New Roman" w:eastAsia="宋体" w:cs="Times New Roman"/>
          <w:color w:val="000000"/>
          <w:kern w:val="0"/>
          <w:szCs w:val="21"/>
        </w:rPr>
        <w:t>Ames</w:t>
      </w:r>
      <w:r>
        <w:rPr>
          <w:rFonts w:hint="eastAsia" w:ascii="Times New Roman" w:hAnsi="Times New Roman" w:eastAsia="宋体" w:cs="Times New Roman"/>
          <w:color w:val="000000"/>
          <w:kern w:val="0"/>
          <w:szCs w:val="21"/>
        </w:rPr>
        <w:t>试验、体外人淋巴细胞染色体畸变试验、小鼠体内微核试验结果均为阴性。利多卡因的代谢产物</w:t>
      </w:r>
      <w:r>
        <w:rPr>
          <w:rFonts w:ascii="Times New Roman" w:hAnsi="Times New Roman" w:eastAsia="宋体" w:cs="Times New Roman"/>
          <w:color w:val="000000"/>
          <w:kern w:val="0"/>
          <w:szCs w:val="21"/>
        </w:rPr>
        <w:t>2</w:t>
      </w:r>
      <w:r>
        <w:rPr>
          <w:rFonts w:hint="eastAsia" w:ascii="Times New Roman" w:hAnsi="Times New Roman" w:eastAsia="宋体" w:cs="Times New Roman"/>
          <w:color w:val="000000"/>
          <w:kern w:val="0"/>
          <w:szCs w:val="21"/>
          <w:lang w:eastAsia="zh-CN"/>
        </w:rPr>
        <w:t>，</w:t>
      </w:r>
      <w:r>
        <w:rPr>
          <w:rFonts w:ascii="Times New Roman" w:hAnsi="Times New Roman" w:eastAsia="宋体" w:cs="Times New Roman"/>
          <w:color w:val="000000"/>
          <w:kern w:val="0"/>
          <w:szCs w:val="21"/>
        </w:rPr>
        <w:t>6-</w:t>
      </w:r>
      <w:r>
        <w:rPr>
          <w:rFonts w:hint="eastAsia" w:ascii="Times New Roman" w:hAnsi="Times New Roman" w:eastAsia="宋体" w:cs="Times New Roman"/>
          <w:color w:val="000000"/>
          <w:kern w:val="0"/>
          <w:szCs w:val="21"/>
        </w:rPr>
        <w:t>二甲苯胺在体外试验中具有遗传毒性。</w:t>
      </w:r>
    </w:p>
    <w:p>
      <w:pPr>
        <w:widowControl/>
        <w:spacing w:line="36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丙胺卡因：丙胺卡因的代谢产物邻甲苯胺在体外具有遗传毒性。在大肠杆菌</w:t>
      </w:r>
      <w:r>
        <w:rPr>
          <w:rFonts w:ascii="Times New Roman" w:hAnsi="Times New Roman" w:eastAsia="宋体" w:cs="Times New Roman"/>
          <w:color w:val="000000"/>
          <w:kern w:val="0"/>
          <w:szCs w:val="21"/>
        </w:rPr>
        <w:t>DNA</w:t>
      </w:r>
      <w:r>
        <w:rPr>
          <w:rFonts w:hint="eastAsia" w:ascii="Times New Roman" w:hAnsi="Times New Roman" w:eastAsia="宋体" w:cs="Times New Roman"/>
          <w:color w:val="000000"/>
          <w:kern w:val="0"/>
          <w:szCs w:val="21"/>
        </w:rPr>
        <w:t>修复和噬菌体诱导试验中，邻甲苯胺浓度为</w:t>
      </w:r>
      <w:r>
        <w:rPr>
          <w:rFonts w:ascii="Times New Roman" w:hAnsi="Times New Roman" w:eastAsia="宋体" w:cs="Times New Roman"/>
          <w:color w:val="000000"/>
          <w:kern w:val="0"/>
          <w:szCs w:val="21"/>
        </w:rPr>
        <w:t>0.5µg/ml</w:t>
      </w:r>
      <w:r>
        <w:rPr>
          <w:rFonts w:hint="eastAsia" w:ascii="Times New Roman" w:hAnsi="Times New Roman" w:eastAsia="宋体" w:cs="Times New Roman"/>
          <w:color w:val="000000"/>
          <w:kern w:val="0"/>
          <w:szCs w:val="21"/>
        </w:rPr>
        <w:t>时结果为阳性。大鼠经口给予邻甲苯胺</w:t>
      </w:r>
      <w:r>
        <w:rPr>
          <w:rFonts w:ascii="Times New Roman" w:hAnsi="Times New Roman" w:eastAsia="宋体" w:cs="Times New Roman"/>
          <w:color w:val="000000"/>
          <w:kern w:val="0"/>
          <w:szCs w:val="21"/>
        </w:rPr>
        <w:t>300mg/kg</w:t>
      </w:r>
      <w:r>
        <w:rPr>
          <w:rFonts w:hint="eastAsia" w:ascii="Times New Roman" w:hAnsi="Times New Roman" w:eastAsia="宋体" w:cs="Times New Roman"/>
          <w:color w:val="000000"/>
          <w:kern w:val="0"/>
          <w:szCs w:val="21"/>
        </w:rPr>
        <w:t>后的浓缩尿液，在鼠伤寒沙门菌中，在存在代谢活化条件下可诱导突变。邻甲苯胺在其他一些试验中，包括有或无代谢活化条件、包含</w:t>
      </w:r>
      <w:r>
        <w:rPr>
          <w:rFonts w:ascii="Times New Roman" w:hAnsi="Times New Roman" w:eastAsia="宋体" w:cs="Times New Roman"/>
          <w:color w:val="000000"/>
          <w:kern w:val="0"/>
          <w:szCs w:val="21"/>
        </w:rPr>
        <w:t>5</w:t>
      </w:r>
      <w:r>
        <w:rPr>
          <w:rFonts w:hint="eastAsia" w:ascii="Times New Roman" w:hAnsi="Times New Roman" w:eastAsia="宋体" w:cs="Times New Roman"/>
          <w:color w:val="000000"/>
          <w:kern w:val="0"/>
          <w:szCs w:val="21"/>
        </w:rPr>
        <w:t>种不同菌株的鼠伤寒沙门菌回复突变试验和中国仓鼠</w:t>
      </w:r>
      <w:r>
        <w:rPr>
          <w:rFonts w:ascii="Times New Roman" w:hAnsi="Times New Roman" w:eastAsia="宋体" w:cs="Times New Roman"/>
          <w:color w:val="000000"/>
          <w:kern w:val="0"/>
          <w:szCs w:val="21"/>
        </w:rPr>
        <w:t>V79</w:t>
      </w:r>
      <w:r>
        <w:rPr>
          <w:rFonts w:hint="eastAsia" w:ascii="Times New Roman" w:hAnsi="Times New Roman" w:eastAsia="宋体" w:cs="Times New Roman"/>
          <w:color w:val="000000"/>
          <w:kern w:val="0"/>
          <w:szCs w:val="21"/>
        </w:rPr>
        <w:t>细胞</w:t>
      </w:r>
      <w:r>
        <w:rPr>
          <w:rFonts w:ascii="Times New Roman" w:hAnsi="Times New Roman" w:eastAsia="宋体" w:cs="Times New Roman"/>
          <w:color w:val="000000"/>
          <w:kern w:val="0"/>
          <w:szCs w:val="21"/>
        </w:rPr>
        <w:t>DNA</w:t>
      </w:r>
      <w:r>
        <w:rPr>
          <w:rFonts w:hint="eastAsia" w:ascii="Times New Roman" w:hAnsi="Times New Roman" w:eastAsia="宋体" w:cs="Times New Roman"/>
          <w:color w:val="000000"/>
          <w:kern w:val="0"/>
          <w:szCs w:val="21"/>
        </w:rPr>
        <w:t>单链断裂试验，结果为阴性。</w:t>
      </w:r>
    </w:p>
    <w:p>
      <w:pPr>
        <w:widowControl/>
        <w:spacing w:line="36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生殖毒性</w:t>
      </w:r>
    </w:p>
    <w:p>
      <w:pPr>
        <w:widowControl/>
        <w:spacing w:line="36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在一项联合用药试验中，妊娠大鼠于器官发生期皮下注射给予盐酸利多卡因和盐酸丙胺卡因水溶混合物［</w:t>
      </w:r>
      <w:r>
        <w:rPr>
          <w:rFonts w:ascii="Times New Roman" w:hAnsi="Times New Roman" w:eastAsia="宋体" w:cs="Times New Roman"/>
          <w:color w:val="000000"/>
          <w:kern w:val="0"/>
          <w:szCs w:val="21"/>
        </w:rPr>
        <w:t>1</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1</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w/w</w:t>
      </w:r>
      <w:r>
        <w:rPr>
          <w:rFonts w:hint="eastAsia" w:ascii="Times New Roman" w:hAnsi="Times New Roman" w:eastAsia="宋体" w:cs="Times New Roman"/>
          <w:color w:val="000000"/>
          <w:kern w:val="0"/>
          <w:szCs w:val="21"/>
        </w:rPr>
        <w:t>）比例］，单药剂量为</w:t>
      </w:r>
      <w:r>
        <w:rPr>
          <w:rFonts w:ascii="Times New Roman" w:hAnsi="Times New Roman" w:eastAsia="宋体" w:cs="Times New Roman"/>
          <w:color w:val="000000"/>
          <w:kern w:val="0"/>
          <w:szCs w:val="21"/>
        </w:rPr>
        <w:t>40mg/kg</w:t>
      </w:r>
      <w:r>
        <w:rPr>
          <w:rFonts w:hint="eastAsia" w:ascii="Times New Roman" w:hAnsi="Times New Roman" w:eastAsia="宋体" w:cs="Times New Roman"/>
          <w:color w:val="000000"/>
          <w:kern w:val="0"/>
          <w:szCs w:val="21"/>
        </w:rPr>
        <w:t>时，未见对胚胎</w:t>
      </w:r>
      <w:r>
        <w:rPr>
          <w:rFonts w:ascii="Times New Roman" w:hAnsi="Times New Roman" w:eastAsia="宋体" w:cs="Times New Roman"/>
          <w:color w:val="000000"/>
          <w:kern w:val="0"/>
          <w:szCs w:val="21"/>
        </w:rPr>
        <w:t>/</w:t>
      </w:r>
      <w:r>
        <w:rPr>
          <w:rFonts w:hint="eastAsia" w:ascii="Times New Roman" w:hAnsi="Times New Roman" w:eastAsia="宋体" w:cs="Times New Roman"/>
          <w:color w:val="000000"/>
          <w:kern w:val="0"/>
          <w:szCs w:val="21"/>
        </w:rPr>
        <w:t>胎仔的影响，但是，缺乏全身暴露量数据，以与临床人暴露量进行比较。</w:t>
      </w:r>
    </w:p>
    <w:p>
      <w:pPr>
        <w:widowControl/>
        <w:spacing w:line="36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利多卡因：在胚胎</w:t>
      </w:r>
      <w:r>
        <w:rPr>
          <w:rFonts w:ascii="Times New Roman" w:hAnsi="Times New Roman" w:eastAsia="宋体" w:cs="Times New Roman"/>
          <w:color w:val="000000"/>
          <w:kern w:val="0"/>
          <w:szCs w:val="21"/>
        </w:rPr>
        <w:t>/</w:t>
      </w:r>
      <w:r>
        <w:rPr>
          <w:rFonts w:hint="eastAsia" w:ascii="Times New Roman" w:hAnsi="Times New Roman" w:eastAsia="宋体" w:cs="Times New Roman"/>
          <w:color w:val="000000"/>
          <w:kern w:val="0"/>
          <w:szCs w:val="21"/>
        </w:rPr>
        <w:t>胎仔发育毒性试验中，大鼠或家兔于器官发生期给予利多卡因，未见致畸性，在家兔中，在母体毒性剂量下观察到胚胎毒性。大鼠于妊娠晚期及哺乳期间给予母体毒性剂量的利多卡因后，子代出生后生存率降低。</w:t>
      </w:r>
    </w:p>
    <w:p>
      <w:pPr>
        <w:widowControl/>
        <w:spacing w:line="36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丙胺卡因：丙胺卡因的生殖毒性试验数据不完整。大鼠生殖毒性试验中，肌内注射剂量为</w:t>
      </w:r>
      <w:r>
        <w:rPr>
          <w:rFonts w:ascii="Times New Roman" w:hAnsi="Times New Roman" w:eastAsia="宋体" w:cs="Times New Roman"/>
          <w:color w:val="000000"/>
          <w:kern w:val="0"/>
          <w:szCs w:val="21"/>
        </w:rPr>
        <w:t>300mg/kg</w:t>
      </w:r>
      <w:r>
        <w:rPr>
          <w:rFonts w:hint="eastAsia" w:ascii="Times New Roman" w:hAnsi="Times New Roman" w:eastAsia="宋体" w:cs="Times New Roman"/>
          <w:color w:val="000000"/>
          <w:kern w:val="0"/>
          <w:szCs w:val="21"/>
        </w:rPr>
        <w:t>时，未见对胎仔的损害作用。</w:t>
      </w:r>
    </w:p>
    <w:p>
      <w:pPr>
        <w:widowControl/>
        <w:spacing w:line="36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致癌性</w:t>
      </w:r>
    </w:p>
    <w:p>
      <w:pPr>
        <w:widowControl/>
        <w:spacing w:line="360" w:lineRule="auto"/>
        <w:ind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利多卡因与丙胺卡因均未开展动物长期致癌性试验。</w:t>
      </w:r>
    </w:p>
    <w:p>
      <w:pPr>
        <w:widowControl/>
        <w:spacing w:line="36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在一项于宫内、出生后和整个生命周期暴露于</w:t>
      </w:r>
      <w:r>
        <w:rPr>
          <w:rFonts w:ascii="Times New Roman" w:hAnsi="Times New Roman" w:eastAsia="宋体" w:cs="Times New Roman"/>
          <w:color w:val="000000"/>
          <w:kern w:val="0"/>
          <w:szCs w:val="21"/>
        </w:rPr>
        <w:t>2</w:t>
      </w:r>
      <w:r>
        <w:rPr>
          <w:rFonts w:hint="eastAsia" w:ascii="Times New Roman" w:hAnsi="Times New Roman" w:eastAsia="宋体" w:cs="Times New Roman"/>
          <w:color w:val="000000"/>
          <w:kern w:val="0"/>
          <w:szCs w:val="21"/>
          <w:lang w:eastAsia="zh-CN"/>
        </w:rPr>
        <w:t>，</w:t>
      </w:r>
      <w:r>
        <w:rPr>
          <w:rFonts w:ascii="Times New Roman" w:hAnsi="Times New Roman" w:eastAsia="宋体" w:cs="Times New Roman"/>
          <w:color w:val="000000"/>
          <w:kern w:val="0"/>
          <w:szCs w:val="21"/>
        </w:rPr>
        <w:t>6-</w:t>
      </w:r>
      <w:r>
        <w:rPr>
          <w:rFonts w:hint="eastAsia" w:ascii="Times New Roman" w:hAnsi="Times New Roman" w:eastAsia="宋体" w:cs="Times New Roman"/>
          <w:color w:val="000000"/>
          <w:kern w:val="0"/>
          <w:szCs w:val="21"/>
        </w:rPr>
        <w:t>二甲苯胺的大鼠致癌性试验中，可见鼻腔、皮下组织和肝脏发生肿瘤。短期</w:t>
      </w:r>
      <w:r>
        <w:rPr>
          <w:rFonts w:ascii="Times New Roman" w:hAnsi="Times New Roman" w:eastAsia="宋体" w:cs="Times New Roman"/>
          <w:color w:val="000000"/>
          <w:kern w:val="0"/>
          <w:szCs w:val="21"/>
        </w:rPr>
        <w:t>/</w:t>
      </w:r>
      <w:r>
        <w:rPr>
          <w:rFonts w:hint="eastAsia" w:ascii="Times New Roman" w:hAnsi="Times New Roman" w:eastAsia="宋体" w:cs="Times New Roman"/>
          <w:color w:val="000000"/>
          <w:kern w:val="0"/>
          <w:szCs w:val="21"/>
        </w:rPr>
        <w:t>间歇性使用利多卡因与肿瘤发生的临床相关性尚不清楚。</w:t>
      </w:r>
    </w:p>
    <w:p>
      <w:pPr>
        <w:widowControl/>
        <w:spacing w:line="36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丙胺卡因代谢产物邻甲苯胺在动物中显示有致癌性。邻甲苯胺大鼠、小鼠和仓鼠致癌性试验中，可见多个器官发生肿瘤。在慢性经口给药毒性试验中，小鼠剂量为</w:t>
      </w:r>
      <w:r>
        <w:rPr>
          <w:rFonts w:ascii="Times New Roman" w:hAnsi="Times New Roman" w:eastAsia="宋体" w:cs="Times New Roman"/>
          <w:color w:val="000000"/>
          <w:kern w:val="0"/>
          <w:szCs w:val="21"/>
        </w:rPr>
        <w:t>450</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7200mg/m</w:t>
      </w:r>
      <w:r>
        <w:rPr>
          <w:rFonts w:ascii="Times New Roman" w:hAnsi="Times New Roman" w:eastAsia="宋体" w:cs="Times New Roman"/>
          <w:color w:val="000000"/>
          <w:kern w:val="0"/>
          <w:szCs w:val="21"/>
          <w:vertAlign w:val="superscript"/>
        </w:rPr>
        <w:t>2</w:t>
      </w:r>
      <w:r>
        <w:rPr>
          <w:rFonts w:hint="eastAsia" w:ascii="Times New Roman" w:hAnsi="Times New Roman" w:eastAsia="宋体" w:cs="Times New Roman"/>
          <w:color w:val="000000"/>
          <w:kern w:val="0"/>
          <w:szCs w:val="21"/>
        </w:rPr>
        <w:t>，大鼠剂量为</w:t>
      </w:r>
      <w:r>
        <w:rPr>
          <w:rFonts w:ascii="Times New Roman" w:hAnsi="Times New Roman" w:eastAsia="宋体" w:cs="Times New Roman"/>
          <w:color w:val="000000"/>
          <w:kern w:val="0"/>
          <w:szCs w:val="21"/>
        </w:rPr>
        <w:t>900</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4800mg/m</w:t>
      </w:r>
      <w:r>
        <w:rPr>
          <w:rFonts w:ascii="Times New Roman" w:hAnsi="Times New Roman" w:eastAsia="宋体" w:cs="Times New Roman"/>
          <w:color w:val="000000"/>
          <w:kern w:val="0"/>
          <w:szCs w:val="21"/>
          <w:vertAlign w:val="superscript"/>
        </w:rPr>
        <w:t>2</w:t>
      </w:r>
      <w:r>
        <w:rPr>
          <w:rFonts w:hint="eastAsia" w:ascii="Times New Roman" w:hAnsi="Times New Roman" w:eastAsia="宋体" w:cs="Times New Roman"/>
          <w:color w:val="000000"/>
          <w:kern w:val="0"/>
          <w:szCs w:val="21"/>
        </w:rPr>
        <w:t>，邻甲苯胺在两个动物种属中均显示有致癌性，包括：雌性小鼠中可见肝细胞癌</w:t>
      </w:r>
      <w:r>
        <w:rPr>
          <w:rFonts w:ascii="Times New Roman" w:hAnsi="Times New Roman" w:eastAsia="宋体" w:cs="Times New Roman"/>
          <w:color w:val="000000"/>
          <w:kern w:val="0"/>
          <w:szCs w:val="21"/>
        </w:rPr>
        <w:t>/</w:t>
      </w:r>
      <w:r>
        <w:rPr>
          <w:rFonts w:hint="eastAsia" w:ascii="Times New Roman" w:hAnsi="Times New Roman" w:eastAsia="宋体" w:cs="Times New Roman"/>
          <w:color w:val="000000"/>
          <w:kern w:val="0"/>
          <w:szCs w:val="21"/>
        </w:rPr>
        <w:t>腺瘤；两种性别小鼠中均可见多发性血管肉瘤</w:t>
      </w:r>
      <w:r>
        <w:rPr>
          <w:rFonts w:ascii="Times New Roman" w:hAnsi="Times New Roman" w:eastAsia="宋体" w:cs="Times New Roman"/>
          <w:color w:val="000000"/>
          <w:kern w:val="0"/>
          <w:szCs w:val="21"/>
        </w:rPr>
        <w:t>/</w:t>
      </w:r>
      <w:r>
        <w:rPr>
          <w:rFonts w:hint="eastAsia" w:ascii="Times New Roman" w:hAnsi="Times New Roman" w:eastAsia="宋体" w:cs="Times New Roman"/>
          <w:color w:val="000000"/>
          <w:kern w:val="0"/>
          <w:szCs w:val="21"/>
        </w:rPr>
        <w:t>血管瘤；两种性别大鼠中可见多器官肉瘤、膀胱迁移细胞癌</w:t>
      </w:r>
      <w:r>
        <w:rPr>
          <w:rFonts w:ascii="Times New Roman" w:hAnsi="Times New Roman" w:eastAsia="宋体" w:cs="Times New Roman"/>
          <w:color w:val="000000"/>
          <w:kern w:val="0"/>
          <w:szCs w:val="21"/>
        </w:rPr>
        <w:t>/</w:t>
      </w:r>
      <w:r>
        <w:rPr>
          <w:rFonts w:hint="eastAsia" w:ascii="Times New Roman" w:hAnsi="Times New Roman" w:eastAsia="宋体" w:cs="Times New Roman"/>
          <w:color w:val="000000"/>
          <w:kern w:val="0"/>
          <w:szCs w:val="21"/>
        </w:rPr>
        <w:t>乳头状瘤；雄性大鼠中可见皮下纤维瘤</w:t>
      </w:r>
      <w:r>
        <w:rPr>
          <w:rFonts w:ascii="Times New Roman" w:hAnsi="Times New Roman" w:eastAsia="宋体" w:cs="Times New Roman"/>
          <w:color w:val="000000"/>
          <w:kern w:val="0"/>
          <w:szCs w:val="21"/>
        </w:rPr>
        <w:t>/</w:t>
      </w:r>
      <w:r>
        <w:rPr>
          <w:rFonts w:hint="eastAsia" w:ascii="Times New Roman" w:hAnsi="Times New Roman" w:eastAsia="宋体" w:cs="Times New Roman"/>
          <w:color w:val="000000"/>
          <w:kern w:val="0"/>
          <w:szCs w:val="21"/>
        </w:rPr>
        <w:t>纤维肉瘤和间皮瘤；雌性大鼠中可见乳腺纤维腺瘤</w:t>
      </w:r>
      <w:r>
        <w:rPr>
          <w:rFonts w:ascii="Times New Roman" w:hAnsi="Times New Roman" w:eastAsia="宋体" w:cs="Times New Roman"/>
          <w:color w:val="000000"/>
          <w:kern w:val="0"/>
          <w:szCs w:val="21"/>
        </w:rPr>
        <w:t>/</w:t>
      </w:r>
      <w:r>
        <w:rPr>
          <w:rFonts w:hint="eastAsia" w:ascii="Times New Roman" w:hAnsi="Times New Roman" w:eastAsia="宋体" w:cs="Times New Roman"/>
          <w:color w:val="000000"/>
          <w:kern w:val="0"/>
          <w:szCs w:val="21"/>
        </w:rPr>
        <w:t>腺瘤。短期</w:t>
      </w:r>
      <w:r>
        <w:rPr>
          <w:rFonts w:ascii="Times New Roman" w:hAnsi="Times New Roman" w:eastAsia="宋体" w:cs="Times New Roman"/>
          <w:color w:val="000000"/>
          <w:kern w:val="0"/>
          <w:szCs w:val="21"/>
        </w:rPr>
        <w:t>/</w:t>
      </w:r>
      <w:r>
        <w:rPr>
          <w:rFonts w:hint="eastAsia" w:ascii="Times New Roman" w:hAnsi="Times New Roman" w:eastAsia="宋体" w:cs="Times New Roman"/>
          <w:color w:val="000000"/>
          <w:kern w:val="0"/>
          <w:szCs w:val="21"/>
        </w:rPr>
        <w:t>间歇性使用丙胺卡因与肿瘤发生的临床相关性尚不清楚。</w:t>
      </w:r>
    </w:p>
    <w:p>
      <w:pPr>
        <w:widowControl/>
        <w:adjustRightInd w:val="0"/>
        <w:snapToGrid w:val="0"/>
        <w:spacing w:line="360" w:lineRule="auto"/>
        <w:ind w:right="9"/>
        <w:jc w:val="left"/>
        <w:rPr>
          <w:rFonts w:ascii="Times New Roman" w:hAnsi="Times New Roman" w:eastAsia="宋体" w:cs="Times New Roman"/>
          <w:b/>
          <w:color w:val="000000"/>
          <w:kern w:val="0"/>
          <w:szCs w:val="21"/>
        </w:rPr>
      </w:pPr>
      <w:r>
        <w:rPr>
          <w:rFonts w:hint="eastAsia" w:ascii="Times New Roman" w:hAnsi="Times New Roman" w:eastAsia="宋体" w:cs="Times New Roman"/>
          <w:b/>
          <w:color w:val="000000"/>
          <w:kern w:val="0"/>
          <w:szCs w:val="21"/>
        </w:rPr>
        <w:t>【药代动力学】</w:t>
      </w:r>
    </w:p>
    <w:p>
      <w:pPr>
        <w:widowControl/>
        <w:spacing w:line="36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利丙双卡因乳膏中利多卡因和丙胺卡因全身性吸收取决于剂量、应用时间、身体不同部位的皮肤厚度以及皮肤的其它情况。当用于腿部溃疡时因溃疡的具体情况而定。</w:t>
      </w:r>
    </w:p>
    <w:p>
      <w:pPr>
        <w:widowControl/>
        <w:spacing w:line="36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无损的皮肤</w:t>
      </w:r>
    </w:p>
    <w:p>
      <w:pPr>
        <w:widowControl/>
        <w:spacing w:line="36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将乳膏涂于成人大腿处</w:t>
      </w:r>
      <w:r>
        <w:rPr>
          <w:rFonts w:hint="eastAsia" w:ascii="Times New Roman" w:hAnsi="Times New Roman" w:eastAsia="宋体" w:cs="Times New Roman"/>
          <w:color w:val="000000"/>
          <w:kern w:val="0"/>
          <w:szCs w:val="21"/>
          <w:lang w:eastAsia="zh-CN"/>
        </w:rPr>
        <w:t>（</w:t>
      </w:r>
      <w:r>
        <w:rPr>
          <w:rFonts w:ascii="Times New Roman" w:hAnsi="Times New Roman" w:eastAsia="宋体" w:cs="Times New Roman"/>
          <w:color w:val="000000"/>
          <w:kern w:val="0"/>
          <w:szCs w:val="21"/>
        </w:rPr>
        <w:t>60g</w:t>
      </w:r>
      <w:r>
        <w:rPr>
          <w:rFonts w:hint="eastAsia" w:ascii="Times New Roman" w:hAnsi="Times New Roman" w:eastAsia="宋体" w:cs="Times New Roman"/>
          <w:color w:val="000000"/>
          <w:kern w:val="0"/>
          <w:szCs w:val="21"/>
        </w:rPr>
        <w:t>乳膏</w:t>
      </w:r>
      <w:r>
        <w:rPr>
          <w:rFonts w:ascii="Times New Roman" w:hAnsi="Times New Roman" w:eastAsia="宋体" w:cs="Times New Roman"/>
          <w:color w:val="000000"/>
          <w:kern w:val="0"/>
          <w:szCs w:val="21"/>
        </w:rPr>
        <w:t>/400cm</w:t>
      </w:r>
      <w:r>
        <w:rPr>
          <w:rFonts w:ascii="Times New Roman" w:hAnsi="Times New Roman" w:eastAsia="宋体" w:cs="Times New Roman"/>
          <w:color w:val="000000"/>
          <w:kern w:val="0"/>
          <w:szCs w:val="21"/>
          <w:vertAlign w:val="superscript"/>
        </w:rPr>
        <w:t>2</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3</w:t>
      </w:r>
      <w:r>
        <w:rPr>
          <w:rFonts w:hint="eastAsia" w:ascii="Times New Roman" w:hAnsi="Times New Roman" w:eastAsia="宋体" w:cs="Times New Roman"/>
          <w:color w:val="000000"/>
          <w:kern w:val="0"/>
          <w:szCs w:val="21"/>
        </w:rPr>
        <w:t>小时</w:t>
      </w:r>
      <w:r>
        <w:rPr>
          <w:rFonts w:hint="eastAsia" w:ascii="Times New Roman" w:hAnsi="Times New Roman" w:eastAsia="宋体" w:cs="Times New Roman"/>
          <w:color w:val="000000"/>
          <w:kern w:val="0"/>
          <w:szCs w:val="21"/>
          <w:lang w:eastAsia="zh-CN"/>
        </w:rPr>
        <w:t>）</w:t>
      </w:r>
      <w:r>
        <w:rPr>
          <w:rFonts w:hint="eastAsia" w:ascii="Times New Roman" w:hAnsi="Times New Roman" w:eastAsia="宋体" w:cs="Times New Roman"/>
          <w:color w:val="000000"/>
          <w:kern w:val="0"/>
          <w:szCs w:val="21"/>
        </w:rPr>
        <w:t>后，大约</w:t>
      </w:r>
      <w:r>
        <w:rPr>
          <w:rFonts w:ascii="Times New Roman" w:hAnsi="Times New Roman" w:eastAsia="宋体" w:cs="Times New Roman"/>
          <w:color w:val="000000"/>
          <w:kern w:val="0"/>
          <w:szCs w:val="21"/>
        </w:rPr>
        <w:t>5%</w:t>
      </w:r>
      <w:r>
        <w:rPr>
          <w:rFonts w:hint="eastAsia" w:ascii="Times New Roman" w:hAnsi="Times New Roman" w:eastAsia="宋体" w:cs="Times New Roman"/>
          <w:color w:val="000000"/>
          <w:kern w:val="0"/>
          <w:szCs w:val="21"/>
        </w:rPr>
        <w:t>的利多卡因和丙胺卡因被吸收。</w:t>
      </w:r>
      <w:r>
        <w:rPr>
          <w:rFonts w:ascii="Times New Roman" w:hAnsi="Times New Roman" w:eastAsia="宋体" w:cs="Times New Roman"/>
          <w:color w:val="000000"/>
          <w:kern w:val="0"/>
          <w:szCs w:val="21"/>
        </w:rPr>
        <w:t>2-6</w:t>
      </w:r>
      <w:r>
        <w:rPr>
          <w:rFonts w:hint="eastAsia" w:ascii="Times New Roman" w:hAnsi="Times New Roman" w:eastAsia="宋体" w:cs="Times New Roman"/>
          <w:color w:val="000000"/>
          <w:kern w:val="0"/>
          <w:szCs w:val="21"/>
        </w:rPr>
        <w:t>小时后达到最高血浆药物浓度</w:t>
      </w:r>
      <w:r>
        <w:rPr>
          <w:rFonts w:hint="eastAsia" w:ascii="Times New Roman" w:hAnsi="Times New Roman" w:eastAsia="宋体" w:cs="Times New Roman"/>
          <w:color w:val="000000"/>
          <w:kern w:val="0"/>
          <w:szCs w:val="21"/>
          <w:lang w:eastAsia="zh-CN"/>
        </w:rPr>
        <w:t>（</w:t>
      </w:r>
      <w:r>
        <w:rPr>
          <w:rFonts w:hint="eastAsia" w:ascii="Times New Roman" w:hAnsi="Times New Roman" w:eastAsia="宋体" w:cs="Times New Roman"/>
          <w:color w:val="000000"/>
          <w:kern w:val="0"/>
          <w:szCs w:val="21"/>
        </w:rPr>
        <w:t>分别为平均</w:t>
      </w:r>
      <w:r>
        <w:rPr>
          <w:rFonts w:ascii="Times New Roman" w:hAnsi="Times New Roman" w:eastAsia="宋体" w:cs="Times New Roman"/>
          <w:color w:val="000000"/>
          <w:kern w:val="0"/>
          <w:szCs w:val="21"/>
        </w:rPr>
        <w:t>0.12</w:t>
      </w:r>
      <w:r>
        <w:rPr>
          <w:rFonts w:hint="eastAsia" w:ascii="Times New Roman" w:hAnsi="Times New Roman" w:eastAsia="宋体" w:cs="Times New Roman"/>
          <w:color w:val="000000"/>
          <w:kern w:val="0"/>
          <w:szCs w:val="21"/>
        </w:rPr>
        <w:t>和</w:t>
      </w:r>
      <w:r>
        <w:rPr>
          <w:rFonts w:ascii="Times New Roman" w:hAnsi="Times New Roman" w:eastAsia="宋体" w:cs="Times New Roman"/>
          <w:color w:val="000000"/>
          <w:kern w:val="0"/>
          <w:szCs w:val="21"/>
        </w:rPr>
        <w:t>0.07μg/ml</w:t>
      </w:r>
      <w:r>
        <w:rPr>
          <w:rFonts w:hint="eastAsia" w:ascii="Times New Roman" w:hAnsi="Times New Roman" w:eastAsia="宋体" w:cs="Times New Roman"/>
          <w:color w:val="000000"/>
          <w:kern w:val="0"/>
          <w:szCs w:val="21"/>
          <w:lang w:eastAsia="zh-CN"/>
        </w:rPr>
        <w:t>）</w:t>
      </w:r>
      <w:r>
        <w:rPr>
          <w:rFonts w:hint="eastAsia" w:ascii="Times New Roman" w:hAnsi="Times New Roman" w:eastAsia="宋体" w:cs="Times New Roman"/>
          <w:color w:val="000000"/>
          <w:kern w:val="0"/>
          <w:szCs w:val="21"/>
        </w:rPr>
        <w:t>。</w:t>
      </w:r>
    </w:p>
    <w:p>
      <w:pPr>
        <w:widowControl/>
        <w:spacing w:line="36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如于脸部使用</w:t>
      </w:r>
      <w:r>
        <w:rPr>
          <w:rFonts w:hint="eastAsia" w:ascii="Times New Roman" w:hAnsi="Times New Roman" w:eastAsia="宋体" w:cs="Times New Roman"/>
          <w:color w:val="000000"/>
          <w:kern w:val="0"/>
          <w:szCs w:val="21"/>
          <w:lang w:eastAsia="zh-CN"/>
        </w:rPr>
        <w:t>（</w:t>
      </w:r>
      <w:r>
        <w:rPr>
          <w:rFonts w:ascii="Times New Roman" w:hAnsi="Times New Roman" w:eastAsia="宋体" w:cs="Times New Roman"/>
          <w:color w:val="000000"/>
          <w:kern w:val="0"/>
          <w:szCs w:val="21"/>
        </w:rPr>
        <w:t>10</w:t>
      </w:r>
      <w:r>
        <w:rPr>
          <w:rFonts w:hint="eastAsia" w:ascii="Times New Roman" w:hAnsi="Times New Roman" w:eastAsia="宋体" w:cs="Times New Roman"/>
          <w:color w:val="000000"/>
          <w:kern w:val="0"/>
          <w:szCs w:val="21"/>
        </w:rPr>
        <w:t>克</w:t>
      </w:r>
      <w:r>
        <w:rPr>
          <w:rFonts w:ascii="Times New Roman" w:hAnsi="Times New Roman" w:eastAsia="宋体" w:cs="Times New Roman"/>
          <w:color w:val="000000"/>
          <w:kern w:val="0"/>
          <w:szCs w:val="21"/>
        </w:rPr>
        <w:t>/100cm</w:t>
      </w:r>
      <w:r>
        <w:rPr>
          <w:rFonts w:ascii="Times New Roman" w:hAnsi="Times New Roman" w:eastAsia="宋体" w:cs="Times New Roman"/>
          <w:color w:val="000000"/>
          <w:kern w:val="0"/>
          <w:szCs w:val="21"/>
          <w:vertAlign w:val="superscript"/>
        </w:rPr>
        <w:t>2</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2</w:t>
      </w:r>
      <w:r>
        <w:rPr>
          <w:rFonts w:hint="eastAsia" w:ascii="Times New Roman" w:hAnsi="Times New Roman" w:eastAsia="宋体" w:cs="Times New Roman"/>
          <w:color w:val="000000"/>
          <w:kern w:val="0"/>
          <w:szCs w:val="21"/>
        </w:rPr>
        <w:t>小时</w:t>
      </w:r>
      <w:r>
        <w:rPr>
          <w:rFonts w:hint="eastAsia" w:ascii="Times New Roman" w:hAnsi="Times New Roman" w:eastAsia="宋体" w:cs="Times New Roman"/>
          <w:color w:val="000000"/>
          <w:kern w:val="0"/>
          <w:szCs w:val="21"/>
          <w:lang w:eastAsia="zh-CN"/>
        </w:rPr>
        <w:t>）</w:t>
      </w:r>
      <w:r>
        <w:rPr>
          <w:rFonts w:hint="eastAsia" w:ascii="Times New Roman" w:hAnsi="Times New Roman" w:eastAsia="宋体" w:cs="Times New Roman"/>
          <w:color w:val="000000"/>
          <w:kern w:val="0"/>
          <w:szCs w:val="21"/>
        </w:rPr>
        <w:t>，全身吸收程度约</w:t>
      </w:r>
      <w:r>
        <w:rPr>
          <w:rFonts w:ascii="Times New Roman" w:hAnsi="Times New Roman" w:eastAsia="宋体" w:cs="Times New Roman"/>
          <w:color w:val="000000"/>
          <w:kern w:val="0"/>
          <w:szCs w:val="21"/>
        </w:rPr>
        <w:t>10%</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1.5-3</w:t>
      </w:r>
      <w:r>
        <w:rPr>
          <w:rFonts w:hint="eastAsia" w:ascii="Times New Roman" w:hAnsi="Times New Roman" w:eastAsia="宋体" w:cs="Times New Roman"/>
          <w:color w:val="000000"/>
          <w:kern w:val="0"/>
          <w:szCs w:val="21"/>
        </w:rPr>
        <w:t>小时后达到最高血浆药物浓度</w:t>
      </w:r>
      <w:r>
        <w:rPr>
          <w:rFonts w:hint="eastAsia" w:ascii="Times New Roman" w:hAnsi="Times New Roman" w:eastAsia="宋体" w:cs="Times New Roman"/>
          <w:color w:val="000000"/>
          <w:kern w:val="0"/>
          <w:szCs w:val="21"/>
          <w:lang w:eastAsia="zh-CN"/>
        </w:rPr>
        <w:t>（</w:t>
      </w:r>
      <w:r>
        <w:rPr>
          <w:rFonts w:hint="eastAsia" w:ascii="Times New Roman" w:hAnsi="Times New Roman" w:eastAsia="宋体" w:cs="Times New Roman"/>
          <w:color w:val="000000"/>
          <w:kern w:val="0"/>
          <w:szCs w:val="21"/>
        </w:rPr>
        <w:t>平均</w:t>
      </w:r>
      <w:r>
        <w:rPr>
          <w:rFonts w:ascii="Times New Roman" w:hAnsi="Times New Roman" w:eastAsia="宋体" w:cs="Times New Roman"/>
          <w:color w:val="000000"/>
          <w:kern w:val="0"/>
          <w:szCs w:val="21"/>
        </w:rPr>
        <w:t>0.16</w:t>
      </w:r>
      <w:r>
        <w:rPr>
          <w:rFonts w:hint="eastAsia" w:ascii="Times New Roman" w:hAnsi="Times New Roman" w:eastAsia="宋体" w:cs="Times New Roman"/>
          <w:color w:val="000000"/>
          <w:kern w:val="0"/>
          <w:szCs w:val="21"/>
        </w:rPr>
        <w:t>和</w:t>
      </w:r>
      <w:r>
        <w:rPr>
          <w:rFonts w:ascii="Times New Roman" w:hAnsi="Times New Roman" w:eastAsia="宋体" w:cs="Times New Roman"/>
          <w:color w:val="000000"/>
          <w:kern w:val="0"/>
          <w:szCs w:val="21"/>
        </w:rPr>
        <w:t>0.6μg/ml</w:t>
      </w:r>
      <w:r>
        <w:rPr>
          <w:rFonts w:hint="eastAsia" w:ascii="Times New Roman" w:hAnsi="Times New Roman" w:eastAsia="宋体" w:cs="Times New Roman"/>
          <w:color w:val="000000"/>
          <w:kern w:val="0"/>
          <w:szCs w:val="21"/>
          <w:lang w:eastAsia="zh-CN"/>
        </w:rPr>
        <w:t>）</w:t>
      </w:r>
      <w:r>
        <w:rPr>
          <w:rFonts w:hint="eastAsia" w:ascii="Times New Roman" w:hAnsi="Times New Roman" w:eastAsia="宋体" w:cs="Times New Roman"/>
          <w:color w:val="000000"/>
          <w:kern w:val="0"/>
          <w:szCs w:val="21"/>
        </w:rPr>
        <w:t>。</w:t>
      </w:r>
    </w:p>
    <w:p>
      <w:pPr>
        <w:widowControl/>
        <w:spacing w:line="36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儿童：</w:t>
      </w:r>
      <w:r>
        <w:rPr>
          <w:rFonts w:ascii="Times New Roman" w:hAnsi="Times New Roman" w:eastAsia="宋体" w:cs="Times New Roman"/>
          <w:color w:val="000000"/>
          <w:kern w:val="0"/>
          <w:szCs w:val="21"/>
        </w:rPr>
        <w:t>3</w:t>
      </w:r>
      <w:r>
        <w:rPr>
          <w:rFonts w:hint="eastAsia" w:ascii="Times New Roman" w:hAnsi="Times New Roman" w:eastAsia="宋体" w:cs="Times New Roman"/>
          <w:color w:val="000000"/>
          <w:kern w:val="0"/>
          <w:szCs w:val="21"/>
        </w:rPr>
        <w:t>个月以下的婴儿使用利丙双卡因乳膏，用量</w:t>
      </w:r>
      <w:r>
        <w:rPr>
          <w:rFonts w:ascii="Times New Roman" w:hAnsi="Times New Roman" w:eastAsia="宋体" w:cs="Times New Roman"/>
          <w:color w:val="000000"/>
          <w:kern w:val="0"/>
          <w:szCs w:val="21"/>
        </w:rPr>
        <w:t>1.0g/10cm</w:t>
      </w:r>
      <w:r>
        <w:rPr>
          <w:rFonts w:ascii="Times New Roman" w:hAnsi="Times New Roman" w:eastAsia="宋体" w:cs="Times New Roman"/>
          <w:color w:val="000000"/>
          <w:kern w:val="0"/>
          <w:szCs w:val="21"/>
          <w:vertAlign w:val="superscript"/>
        </w:rPr>
        <w:t>2</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1</w:t>
      </w:r>
      <w:r>
        <w:rPr>
          <w:rFonts w:hint="eastAsia" w:ascii="Times New Roman" w:hAnsi="Times New Roman" w:eastAsia="宋体" w:cs="Times New Roman"/>
          <w:color w:val="000000"/>
          <w:kern w:val="0"/>
          <w:szCs w:val="21"/>
        </w:rPr>
        <w:t>小时，最高血浆药物浓度分别为</w:t>
      </w:r>
      <w:r>
        <w:rPr>
          <w:rFonts w:ascii="Times New Roman" w:hAnsi="Times New Roman" w:eastAsia="宋体" w:cs="Times New Roman"/>
          <w:color w:val="000000"/>
          <w:kern w:val="0"/>
          <w:szCs w:val="21"/>
        </w:rPr>
        <w:t>0.135</w:t>
      </w:r>
      <w:r>
        <w:rPr>
          <w:rFonts w:hint="eastAsia" w:ascii="Times New Roman" w:hAnsi="Times New Roman" w:eastAsia="宋体" w:cs="Times New Roman"/>
          <w:color w:val="000000"/>
          <w:kern w:val="0"/>
          <w:szCs w:val="21"/>
        </w:rPr>
        <w:t>和</w:t>
      </w:r>
      <w:r>
        <w:rPr>
          <w:rFonts w:ascii="Times New Roman" w:hAnsi="Times New Roman" w:eastAsia="宋体" w:cs="Times New Roman"/>
          <w:color w:val="000000"/>
          <w:kern w:val="0"/>
          <w:szCs w:val="21"/>
        </w:rPr>
        <w:t>0.107μg/ml</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3</w:t>
      </w:r>
      <w:r>
        <w:rPr>
          <w:rFonts w:hint="eastAsia" w:ascii="Times New Roman" w:hAnsi="Times New Roman" w:eastAsia="宋体" w:cs="Times New Roman"/>
          <w:color w:val="000000"/>
          <w:kern w:val="0"/>
          <w:szCs w:val="21"/>
        </w:rPr>
        <w:t>至</w:t>
      </w:r>
      <w:r>
        <w:rPr>
          <w:rFonts w:ascii="Times New Roman" w:hAnsi="Times New Roman" w:eastAsia="宋体" w:cs="Times New Roman"/>
          <w:color w:val="000000"/>
          <w:kern w:val="0"/>
          <w:szCs w:val="21"/>
        </w:rPr>
        <w:t>12</w:t>
      </w:r>
      <w:r>
        <w:rPr>
          <w:rFonts w:hint="eastAsia" w:ascii="Times New Roman" w:hAnsi="Times New Roman" w:eastAsia="宋体" w:cs="Times New Roman"/>
          <w:color w:val="000000"/>
          <w:kern w:val="0"/>
          <w:szCs w:val="21"/>
        </w:rPr>
        <w:t>个月的婴儿（</w:t>
      </w:r>
      <w:r>
        <w:rPr>
          <w:rFonts w:ascii="Times New Roman" w:hAnsi="Times New Roman" w:eastAsia="宋体" w:cs="Times New Roman"/>
          <w:color w:val="000000"/>
          <w:kern w:val="0"/>
          <w:szCs w:val="21"/>
        </w:rPr>
        <w:t>2.0g/16cm</w:t>
      </w:r>
      <w:r>
        <w:rPr>
          <w:rFonts w:ascii="Times New Roman" w:hAnsi="Times New Roman" w:eastAsia="宋体" w:cs="Times New Roman"/>
          <w:color w:val="000000"/>
          <w:kern w:val="0"/>
          <w:szCs w:val="21"/>
          <w:vertAlign w:val="superscript"/>
        </w:rPr>
        <w:t>2</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4</w:t>
      </w:r>
      <w:r>
        <w:rPr>
          <w:rFonts w:hint="eastAsia" w:ascii="Times New Roman" w:hAnsi="Times New Roman" w:eastAsia="宋体" w:cs="Times New Roman"/>
          <w:color w:val="000000"/>
          <w:kern w:val="0"/>
          <w:szCs w:val="21"/>
        </w:rPr>
        <w:t>小时）最高血浆药物浓度分别为</w:t>
      </w:r>
      <w:r>
        <w:rPr>
          <w:rFonts w:ascii="Times New Roman" w:hAnsi="Times New Roman" w:eastAsia="宋体" w:cs="Times New Roman"/>
          <w:color w:val="000000"/>
          <w:kern w:val="0"/>
          <w:szCs w:val="21"/>
        </w:rPr>
        <w:t>0.155</w:t>
      </w:r>
      <w:r>
        <w:rPr>
          <w:rFonts w:hint="eastAsia" w:ascii="Times New Roman" w:hAnsi="Times New Roman" w:eastAsia="宋体" w:cs="Times New Roman"/>
          <w:color w:val="000000"/>
          <w:kern w:val="0"/>
          <w:szCs w:val="21"/>
        </w:rPr>
        <w:t>和</w:t>
      </w:r>
      <w:r>
        <w:rPr>
          <w:rFonts w:ascii="Times New Roman" w:hAnsi="Times New Roman" w:eastAsia="宋体" w:cs="Times New Roman"/>
          <w:color w:val="000000"/>
          <w:kern w:val="0"/>
          <w:szCs w:val="21"/>
        </w:rPr>
        <w:t>0.131μg/ml</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2~3</w:t>
      </w:r>
      <w:r>
        <w:rPr>
          <w:rFonts w:hint="eastAsia" w:ascii="Times New Roman" w:hAnsi="Times New Roman" w:eastAsia="宋体" w:cs="Times New Roman"/>
          <w:color w:val="000000"/>
          <w:kern w:val="0"/>
          <w:szCs w:val="21"/>
        </w:rPr>
        <w:t>岁的儿童（</w:t>
      </w:r>
      <w:r>
        <w:rPr>
          <w:rFonts w:ascii="Times New Roman" w:hAnsi="Times New Roman" w:eastAsia="宋体" w:cs="Times New Roman"/>
          <w:color w:val="000000"/>
          <w:kern w:val="0"/>
          <w:szCs w:val="21"/>
        </w:rPr>
        <w:t>10.0g/100cm</w:t>
      </w:r>
      <w:r>
        <w:rPr>
          <w:rFonts w:ascii="Times New Roman" w:hAnsi="Times New Roman" w:eastAsia="宋体" w:cs="Times New Roman"/>
          <w:color w:val="000000"/>
          <w:kern w:val="0"/>
          <w:szCs w:val="21"/>
          <w:vertAlign w:val="superscript"/>
        </w:rPr>
        <w:t>2</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2</w:t>
      </w:r>
      <w:r>
        <w:rPr>
          <w:rFonts w:hint="eastAsia" w:ascii="Times New Roman" w:hAnsi="Times New Roman" w:eastAsia="宋体" w:cs="Times New Roman"/>
          <w:color w:val="000000"/>
          <w:kern w:val="0"/>
          <w:szCs w:val="21"/>
        </w:rPr>
        <w:t>小时）最高血浆药物浓度分别为</w:t>
      </w:r>
      <w:r>
        <w:rPr>
          <w:rFonts w:ascii="Times New Roman" w:hAnsi="Times New Roman" w:eastAsia="宋体" w:cs="Times New Roman"/>
          <w:color w:val="000000"/>
          <w:kern w:val="0"/>
          <w:szCs w:val="21"/>
        </w:rPr>
        <w:t>0.315</w:t>
      </w:r>
      <w:r>
        <w:rPr>
          <w:rFonts w:hint="eastAsia" w:ascii="Times New Roman" w:hAnsi="Times New Roman" w:eastAsia="宋体" w:cs="Times New Roman"/>
          <w:color w:val="000000"/>
          <w:kern w:val="0"/>
          <w:szCs w:val="21"/>
        </w:rPr>
        <w:t>和</w:t>
      </w:r>
      <w:r>
        <w:rPr>
          <w:rFonts w:ascii="Times New Roman" w:hAnsi="Times New Roman" w:eastAsia="宋体" w:cs="Times New Roman"/>
          <w:color w:val="000000"/>
          <w:kern w:val="0"/>
          <w:szCs w:val="21"/>
        </w:rPr>
        <w:t>0.215μg/ml</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6~8</w:t>
      </w:r>
      <w:r>
        <w:rPr>
          <w:rFonts w:hint="eastAsia" w:ascii="Times New Roman" w:hAnsi="Times New Roman" w:eastAsia="宋体" w:cs="Times New Roman"/>
          <w:color w:val="000000"/>
          <w:kern w:val="0"/>
          <w:szCs w:val="21"/>
        </w:rPr>
        <w:t>岁的儿童（</w:t>
      </w:r>
      <w:r>
        <w:rPr>
          <w:rFonts w:ascii="Times New Roman" w:hAnsi="Times New Roman" w:eastAsia="宋体" w:cs="Times New Roman"/>
          <w:color w:val="000000"/>
          <w:kern w:val="0"/>
          <w:szCs w:val="21"/>
        </w:rPr>
        <w:t>10.0~16.0g/100~160cm</w:t>
      </w:r>
      <w:r>
        <w:rPr>
          <w:rFonts w:ascii="Times New Roman" w:hAnsi="Times New Roman" w:eastAsia="宋体" w:cs="Times New Roman"/>
          <w:color w:val="000000"/>
          <w:kern w:val="0"/>
          <w:szCs w:val="21"/>
          <w:vertAlign w:val="superscript"/>
        </w:rPr>
        <w:t>2</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2</w:t>
      </w:r>
      <w:r>
        <w:rPr>
          <w:rFonts w:hint="eastAsia" w:ascii="Times New Roman" w:hAnsi="Times New Roman" w:eastAsia="宋体" w:cs="Times New Roman"/>
          <w:color w:val="000000"/>
          <w:kern w:val="0"/>
          <w:szCs w:val="21"/>
        </w:rPr>
        <w:t>小时）最高血浆药物浓度分别为</w:t>
      </w:r>
      <w:r>
        <w:rPr>
          <w:rFonts w:ascii="Times New Roman" w:hAnsi="Times New Roman" w:eastAsia="宋体" w:cs="Times New Roman"/>
          <w:color w:val="000000"/>
          <w:kern w:val="0"/>
          <w:szCs w:val="21"/>
        </w:rPr>
        <w:t>0.299</w:t>
      </w:r>
      <w:r>
        <w:rPr>
          <w:rFonts w:hint="eastAsia" w:ascii="Times New Roman" w:hAnsi="Times New Roman" w:eastAsia="宋体" w:cs="Times New Roman"/>
          <w:color w:val="000000"/>
          <w:kern w:val="0"/>
          <w:szCs w:val="21"/>
        </w:rPr>
        <w:t>和</w:t>
      </w:r>
      <w:r>
        <w:rPr>
          <w:rFonts w:ascii="Times New Roman" w:hAnsi="Times New Roman" w:eastAsia="宋体" w:cs="Times New Roman"/>
          <w:color w:val="000000"/>
          <w:kern w:val="0"/>
          <w:szCs w:val="21"/>
        </w:rPr>
        <w:t>0.110μg/ml</w:t>
      </w:r>
      <w:r>
        <w:rPr>
          <w:rFonts w:hint="eastAsia" w:ascii="Times New Roman" w:hAnsi="Times New Roman" w:eastAsia="宋体" w:cs="Times New Roman"/>
          <w:color w:val="000000"/>
          <w:kern w:val="0"/>
          <w:szCs w:val="21"/>
        </w:rPr>
        <w:t>。</w:t>
      </w:r>
    </w:p>
    <w:p>
      <w:pPr>
        <w:widowControl/>
        <w:spacing w:line="36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生殖器粘膜</w:t>
      </w:r>
    </w:p>
    <w:p>
      <w:pPr>
        <w:widowControl/>
        <w:spacing w:line="360" w:lineRule="auto"/>
        <w:ind w:firstLine="420" w:firstLineChars="200"/>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w:t>
      </w:r>
      <w:r>
        <w:rPr>
          <w:rFonts w:hint="eastAsia" w:ascii="Times New Roman" w:hAnsi="Times New Roman" w:eastAsia="宋体" w:cs="Times New Roman"/>
          <w:color w:val="000000"/>
          <w:kern w:val="0"/>
          <w:szCs w:val="21"/>
        </w:rPr>
        <w:t>克利丙双卡因乳膏涂于阴道粘膜处</w:t>
      </w:r>
      <w:r>
        <w:rPr>
          <w:rFonts w:ascii="Times New Roman" w:hAnsi="Times New Roman" w:eastAsia="宋体" w:cs="Times New Roman"/>
          <w:color w:val="000000"/>
          <w:kern w:val="0"/>
          <w:szCs w:val="21"/>
        </w:rPr>
        <w:t>10</w:t>
      </w:r>
      <w:r>
        <w:rPr>
          <w:rFonts w:hint="eastAsia" w:ascii="Times New Roman" w:hAnsi="Times New Roman" w:eastAsia="宋体" w:cs="Times New Roman"/>
          <w:color w:val="000000"/>
          <w:kern w:val="0"/>
          <w:szCs w:val="21"/>
        </w:rPr>
        <w:t>分钟，</w:t>
      </w:r>
      <w:r>
        <w:rPr>
          <w:rFonts w:ascii="Times New Roman" w:hAnsi="Times New Roman" w:eastAsia="宋体" w:cs="Times New Roman"/>
          <w:color w:val="000000"/>
          <w:kern w:val="0"/>
          <w:szCs w:val="21"/>
        </w:rPr>
        <w:t>20-45</w:t>
      </w:r>
      <w:r>
        <w:rPr>
          <w:rFonts w:hint="eastAsia" w:ascii="Times New Roman" w:hAnsi="Times New Roman" w:eastAsia="宋体" w:cs="Times New Roman"/>
          <w:color w:val="000000"/>
          <w:kern w:val="0"/>
          <w:szCs w:val="21"/>
        </w:rPr>
        <w:t>分钟后达到利多卡因和丙胺卡因的最高血浆药物浓度</w:t>
      </w:r>
      <w:r>
        <w:rPr>
          <w:rFonts w:hint="eastAsia" w:ascii="Times New Roman" w:hAnsi="Times New Roman" w:eastAsia="宋体" w:cs="Times New Roman"/>
          <w:color w:val="000000"/>
          <w:kern w:val="0"/>
          <w:szCs w:val="21"/>
          <w:lang w:eastAsia="zh-CN"/>
        </w:rPr>
        <w:t>（</w:t>
      </w:r>
      <w:r>
        <w:rPr>
          <w:rFonts w:hint="eastAsia" w:ascii="Times New Roman" w:hAnsi="Times New Roman" w:eastAsia="宋体" w:cs="Times New Roman"/>
          <w:color w:val="000000"/>
          <w:kern w:val="0"/>
          <w:szCs w:val="21"/>
        </w:rPr>
        <w:t>分别为平均</w:t>
      </w:r>
      <w:r>
        <w:rPr>
          <w:rFonts w:ascii="Times New Roman" w:hAnsi="Times New Roman" w:eastAsia="宋体" w:cs="Times New Roman"/>
          <w:color w:val="000000"/>
          <w:kern w:val="0"/>
          <w:szCs w:val="21"/>
        </w:rPr>
        <w:t>0.18μg/ml</w:t>
      </w:r>
      <w:r>
        <w:rPr>
          <w:rFonts w:hint="eastAsia" w:ascii="Times New Roman" w:hAnsi="Times New Roman" w:eastAsia="宋体" w:cs="Times New Roman"/>
          <w:color w:val="000000"/>
          <w:kern w:val="0"/>
          <w:szCs w:val="21"/>
        </w:rPr>
        <w:t>和</w:t>
      </w:r>
      <w:r>
        <w:rPr>
          <w:rFonts w:ascii="Times New Roman" w:hAnsi="Times New Roman" w:eastAsia="宋体" w:cs="Times New Roman"/>
          <w:color w:val="000000"/>
          <w:kern w:val="0"/>
          <w:szCs w:val="21"/>
        </w:rPr>
        <w:t>0.15μg/ml</w:t>
      </w:r>
      <w:r>
        <w:rPr>
          <w:rFonts w:hint="eastAsia" w:ascii="Times New Roman" w:hAnsi="Times New Roman" w:eastAsia="宋体" w:cs="Times New Roman"/>
          <w:color w:val="000000"/>
          <w:kern w:val="0"/>
          <w:szCs w:val="21"/>
          <w:lang w:eastAsia="zh-CN"/>
        </w:rPr>
        <w:t>）</w:t>
      </w:r>
      <w:r>
        <w:rPr>
          <w:rFonts w:hint="eastAsia" w:ascii="Times New Roman" w:hAnsi="Times New Roman" w:eastAsia="宋体" w:cs="Times New Roman"/>
          <w:color w:val="000000"/>
          <w:kern w:val="0"/>
          <w:szCs w:val="21"/>
        </w:rPr>
        <w:t>。</w:t>
      </w:r>
    </w:p>
    <w:p>
      <w:pPr>
        <w:widowControl/>
        <w:spacing w:line="36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腿部溃疡</w:t>
      </w:r>
    </w:p>
    <w:p>
      <w:pPr>
        <w:widowControl/>
        <w:spacing w:line="36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单次使用</w:t>
      </w:r>
      <w:r>
        <w:rPr>
          <w:rFonts w:ascii="Times New Roman" w:hAnsi="Times New Roman" w:eastAsia="宋体" w:cs="Times New Roman"/>
          <w:color w:val="000000"/>
          <w:kern w:val="0"/>
          <w:szCs w:val="21"/>
        </w:rPr>
        <w:t>5</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10</w:t>
      </w:r>
      <w:r>
        <w:rPr>
          <w:rFonts w:hint="eastAsia" w:ascii="Times New Roman" w:hAnsi="Times New Roman" w:eastAsia="宋体" w:cs="Times New Roman"/>
          <w:color w:val="000000"/>
          <w:kern w:val="0"/>
          <w:szCs w:val="21"/>
        </w:rPr>
        <w:t>克利丙双卡因乳膏涂于腿部溃疡处</w:t>
      </w:r>
      <w:r>
        <w:rPr>
          <w:rFonts w:ascii="Times New Roman" w:hAnsi="Times New Roman" w:eastAsia="宋体" w:cs="Times New Roman"/>
          <w:color w:val="000000"/>
          <w:kern w:val="0"/>
          <w:szCs w:val="21"/>
        </w:rPr>
        <w:t>30</w:t>
      </w:r>
      <w:r>
        <w:rPr>
          <w:rFonts w:hint="eastAsia" w:ascii="Times New Roman" w:hAnsi="Times New Roman" w:eastAsia="宋体" w:cs="Times New Roman"/>
          <w:color w:val="000000"/>
          <w:kern w:val="0"/>
          <w:szCs w:val="21"/>
        </w:rPr>
        <w:t>分钟，</w:t>
      </w:r>
      <w:r>
        <w:rPr>
          <w:rFonts w:ascii="Times New Roman" w:hAnsi="Times New Roman" w:eastAsia="宋体" w:cs="Times New Roman"/>
          <w:color w:val="000000"/>
          <w:kern w:val="0"/>
          <w:szCs w:val="21"/>
        </w:rPr>
        <w:t>1-2.5</w:t>
      </w:r>
      <w:r>
        <w:rPr>
          <w:rFonts w:hint="eastAsia" w:ascii="Times New Roman" w:hAnsi="Times New Roman" w:eastAsia="宋体" w:cs="Times New Roman"/>
          <w:color w:val="000000"/>
          <w:kern w:val="0"/>
          <w:szCs w:val="21"/>
        </w:rPr>
        <w:t>小时后达到利多卡因</w:t>
      </w:r>
      <w:r>
        <w:rPr>
          <w:rFonts w:hint="eastAsia" w:ascii="Times New Roman" w:hAnsi="Times New Roman" w:eastAsia="宋体" w:cs="Times New Roman"/>
          <w:color w:val="000000"/>
          <w:kern w:val="0"/>
          <w:szCs w:val="21"/>
          <w:lang w:eastAsia="zh-CN"/>
        </w:rPr>
        <w:t>（</w:t>
      </w:r>
      <w:r>
        <w:rPr>
          <w:rFonts w:hint="eastAsia" w:ascii="Times New Roman" w:hAnsi="Times New Roman" w:eastAsia="宋体" w:cs="Times New Roman"/>
          <w:color w:val="000000"/>
          <w:kern w:val="0"/>
          <w:szCs w:val="21"/>
        </w:rPr>
        <w:t>分别为平均</w:t>
      </w:r>
      <w:r>
        <w:rPr>
          <w:rFonts w:ascii="Times New Roman" w:hAnsi="Times New Roman" w:eastAsia="宋体" w:cs="Times New Roman"/>
          <w:color w:val="000000"/>
          <w:kern w:val="0"/>
          <w:szCs w:val="21"/>
        </w:rPr>
        <w:t>0.05</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0.25μg/ml</w:t>
      </w:r>
      <w:r>
        <w:rPr>
          <w:rFonts w:hint="eastAsia" w:ascii="Times New Roman" w:hAnsi="Times New Roman" w:eastAsia="宋体" w:cs="Times New Roman"/>
          <w:color w:val="000000"/>
          <w:kern w:val="0"/>
          <w:szCs w:val="21"/>
          <w:lang w:eastAsia="zh-CN"/>
        </w:rPr>
        <w:t>，</w:t>
      </w:r>
      <w:r>
        <w:rPr>
          <w:rFonts w:hint="eastAsia" w:ascii="Times New Roman" w:hAnsi="Times New Roman" w:eastAsia="宋体" w:cs="Times New Roman"/>
          <w:color w:val="000000"/>
          <w:kern w:val="0"/>
          <w:szCs w:val="21"/>
        </w:rPr>
        <w:t>单次值为</w:t>
      </w:r>
      <w:r>
        <w:rPr>
          <w:rFonts w:ascii="Times New Roman" w:hAnsi="Times New Roman" w:eastAsia="宋体" w:cs="Times New Roman"/>
          <w:color w:val="000000"/>
          <w:kern w:val="0"/>
          <w:szCs w:val="21"/>
        </w:rPr>
        <w:t>0.84μg/ml</w:t>
      </w:r>
      <w:r>
        <w:rPr>
          <w:rFonts w:hint="eastAsia" w:ascii="Times New Roman" w:hAnsi="Times New Roman" w:eastAsia="宋体" w:cs="Times New Roman"/>
          <w:color w:val="000000"/>
          <w:kern w:val="0"/>
          <w:szCs w:val="21"/>
          <w:lang w:eastAsia="zh-CN"/>
        </w:rPr>
        <w:t>）</w:t>
      </w:r>
      <w:r>
        <w:rPr>
          <w:rFonts w:hint="eastAsia" w:ascii="Times New Roman" w:hAnsi="Times New Roman" w:eastAsia="宋体" w:cs="Times New Roman"/>
          <w:color w:val="000000"/>
          <w:kern w:val="0"/>
          <w:szCs w:val="21"/>
        </w:rPr>
        <w:t>和丙胺卡因（</w:t>
      </w:r>
      <w:r>
        <w:rPr>
          <w:rFonts w:ascii="Times New Roman" w:hAnsi="Times New Roman" w:eastAsia="宋体" w:cs="Times New Roman"/>
          <w:color w:val="000000"/>
          <w:kern w:val="0"/>
          <w:szCs w:val="21"/>
        </w:rPr>
        <w:t>0.02</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0.08μg/ml</w:t>
      </w:r>
      <w:r>
        <w:rPr>
          <w:rFonts w:hint="eastAsia" w:ascii="Times New Roman" w:hAnsi="Times New Roman" w:eastAsia="宋体" w:cs="Times New Roman"/>
          <w:color w:val="000000"/>
          <w:kern w:val="0"/>
          <w:szCs w:val="21"/>
        </w:rPr>
        <w:t>）最高血浆药物浓度。</w:t>
      </w:r>
    </w:p>
    <w:p>
      <w:pPr>
        <w:widowControl/>
        <w:spacing w:line="360" w:lineRule="auto"/>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重复使用</w:t>
      </w:r>
      <w:r>
        <w:rPr>
          <w:rFonts w:ascii="Times New Roman" w:hAnsi="Times New Roman" w:eastAsia="宋体" w:cs="Times New Roman"/>
          <w:color w:val="000000"/>
          <w:kern w:val="0"/>
          <w:szCs w:val="21"/>
        </w:rPr>
        <w:t>2</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10</w:t>
      </w:r>
      <w:r>
        <w:rPr>
          <w:rFonts w:hint="eastAsia" w:ascii="Times New Roman" w:hAnsi="Times New Roman" w:eastAsia="宋体" w:cs="Times New Roman"/>
          <w:color w:val="000000"/>
          <w:kern w:val="0"/>
          <w:szCs w:val="21"/>
        </w:rPr>
        <w:t>克利丙双卡因乳膏涂于腿部溃疡处</w:t>
      </w:r>
      <w:r>
        <w:rPr>
          <w:rFonts w:ascii="Times New Roman" w:hAnsi="Times New Roman" w:eastAsia="宋体" w:cs="Times New Roman"/>
          <w:color w:val="000000"/>
          <w:kern w:val="0"/>
          <w:szCs w:val="21"/>
        </w:rPr>
        <w:t>30</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60</w:t>
      </w:r>
      <w:r>
        <w:rPr>
          <w:rFonts w:hint="eastAsia" w:ascii="Times New Roman" w:hAnsi="Times New Roman" w:eastAsia="宋体" w:cs="Times New Roman"/>
          <w:color w:val="000000"/>
          <w:kern w:val="0"/>
          <w:szCs w:val="21"/>
        </w:rPr>
        <w:t>分钟，每周</w:t>
      </w:r>
      <w:r>
        <w:rPr>
          <w:rFonts w:ascii="Times New Roman" w:hAnsi="Times New Roman" w:eastAsia="宋体" w:cs="Times New Roman"/>
          <w:color w:val="000000"/>
          <w:kern w:val="0"/>
          <w:szCs w:val="21"/>
        </w:rPr>
        <w:t>3</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7</w:t>
      </w:r>
      <w:r>
        <w:rPr>
          <w:rFonts w:hint="eastAsia" w:ascii="Times New Roman" w:hAnsi="Times New Roman" w:eastAsia="宋体" w:cs="Times New Roman"/>
          <w:color w:val="000000"/>
          <w:kern w:val="0"/>
          <w:szCs w:val="21"/>
        </w:rPr>
        <w:t>次，</w:t>
      </w:r>
      <w:r>
        <w:rPr>
          <w:rFonts w:ascii="Times New Roman" w:hAnsi="Times New Roman" w:eastAsia="宋体" w:cs="Times New Roman"/>
          <w:color w:val="000000"/>
          <w:kern w:val="0"/>
          <w:szCs w:val="21"/>
        </w:rPr>
        <w:t>1</w:t>
      </w:r>
      <w:r>
        <w:rPr>
          <w:rFonts w:hint="eastAsia" w:ascii="Times New Roman" w:hAnsi="Times New Roman" w:eastAsia="宋体" w:cs="Times New Roman"/>
          <w:color w:val="000000"/>
          <w:kern w:val="0"/>
          <w:szCs w:val="21"/>
        </w:rPr>
        <w:t>个月</w:t>
      </w:r>
      <w:r>
        <w:rPr>
          <w:rFonts w:ascii="Times New Roman" w:hAnsi="Times New Roman" w:eastAsia="宋体" w:cs="Times New Roman"/>
          <w:color w:val="000000"/>
          <w:kern w:val="0"/>
          <w:szCs w:val="21"/>
        </w:rPr>
        <w:t>15</w:t>
      </w:r>
      <w:r>
        <w:rPr>
          <w:rFonts w:hint="eastAsia" w:ascii="Times New Roman" w:hAnsi="Times New Roman" w:eastAsia="宋体" w:cs="Times New Roman"/>
          <w:color w:val="000000"/>
          <w:kern w:val="0"/>
          <w:szCs w:val="21"/>
        </w:rPr>
        <w:t>次，利多卡因、其代谢物</w:t>
      </w:r>
      <w:r>
        <w:rPr>
          <w:rFonts w:ascii="Times New Roman" w:hAnsi="Times New Roman" w:eastAsia="宋体" w:cs="Times New Roman"/>
          <w:color w:val="000000"/>
          <w:kern w:val="0"/>
          <w:szCs w:val="21"/>
        </w:rPr>
        <w:t>monoglycinexylidide</w:t>
      </w:r>
      <w:r>
        <w:rPr>
          <w:rFonts w:hint="eastAsia" w:ascii="Times New Roman" w:hAnsi="Times New Roman" w:eastAsia="宋体" w:cs="Times New Roman"/>
          <w:color w:val="000000"/>
          <w:kern w:val="0"/>
          <w:szCs w:val="21"/>
        </w:rPr>
        <w:t>和</w:t>
      </w:r>
      <w:r>
        <w:rPr>
          <w:rFonts w:ascii="Times New Roman" w:hAnsi="Times New Roman" w:eastAsia="宋体" w:cs="Times New Roman"/>
          <w:color w:val="000000"/>
          <w:kern w:val="0"/>
          <w:szCs w:val="21"/>
        </w:rPr>
        <w:t>2</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6-</w:t>
      </w:r>
      <w:r>
        <w:rPr>
          <w:rFonts w:hint="eastAsia" w:ascii="Times New Roman" w:hAnsi="Times New Roman" w:eastAsia="宋体" w:cs="Times New Roman"/>
          <w:color w:val="000000"/>
          <w:kern w:val="0"/>
          <w:szCs w:val="21"/>
        </w:rPr>
        <w:t>二甲苯胺或丙胺卡因及其代谢物邻</w:t>
      </w:r>
      <w:r>
        <w:rPr>
          <w:rFonts w:ascii="Times New Roman" w:hAnsi="Times New Roman" w:eastAsia="宋体" w:cs="Times New Roman"/>
          <w:color w:val="000000"/>
          <w:kern w:val="0"/>
          <w:szCs w:val="21"/>
        </w:rPr>
        <w:t>-</w:t>
      </w:r>
      <w:r>
        <w:rPr>
          <w:rFonts w:hint="eastAsia" w:ascii="Times New Roman" w:hAnsi="Times New Roman" w:eastAsia="宋体" w:cs="Times New Roman"/>
          <w:color w:val="000000"/>
          <w:kern w:val="0"/>
          <w:szCs w:val="21"/>
        </w:rPr>
        <w:t>甲苯胺无明显蓄积，利多卡因、</w:t>
      </w:r>
      <w:r>
        <w:rPr>
          <w:rFonts w:ascii="Times New Roman" w:hAnsi="Times New Roman" w:eastAsia="宋体" w:cs="Times New Roman"/>
          <w:color w:val="000000"/>
          <w:kern w:val="0"/>
          <w:szCs w:val="21"/>
        </w:rPr>
        <w:t>monoglycinexylidide</w:t>
      </w:r>
      <w:r>
        <w:rPr>
          <w:rFonts w:hint="eastAsia" w:ascii="Times New Roman" w:hAnsi="Times New Roman" w:eastAsia="宋体" w:cs="Times New Roman"/>
          <w:color w:val="000000"/>
          <w:kern w:val="0"/>
          <w:szCs w:val="21"/>
        </w:rPr>
        <w:t>及</w:t>
      </w:r>
      <w:r>
        <w:rPr>
          <w:rFonts w:ascii="Times New Roman" w:hAnsi="Times New Roman" w:eastAsia="宋体" w:cs="Times New Roman"/>
          <w:color w:val="000000"/>
          <w:kern w:val="0"/>
          <w:szCs w:val="21"/>
        </w:rPr>
        <w:t>2</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6-</w:t>
      </w:r>
      <w:r>
        <w:rPr>
          <w:rFonts w:hint="eastAsia" w:ascii="Times New Roman" w:hAnsi="Times New Roman" w:eastAsia="宋体" w:cs="Times New Roman"/>
          <w:color w:val="000000"/>
          <w:kern w:val="0"/>
          <w:szCs w:val="21"/>
        </w:rPr>
        <w:t>二甲苯胺的最高血浆药物浓度分别为</w:t>
      </w:r>
      <w:r>
        <w:rPr>
          <w:rFonts w:ascii="Times New Roman" w:hAnsi="Times New Roman" w:eastAsia="宋体" w:cs="Times New Roman"/>
          <w:color w:val="000000"/>
          <w:kern w:val="0"/>
          <w:szCs w:val="21"/>
        </w:rPr>
        <w:t>0.41</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0.03</w:t>
      </w:r>
      <w:r>
        <w:rPr>
          <w:rFonts w:hint="eastAsia" w:ascii="Times New Roman" w:hAnsi="Times New Roman" w:eastAsia="宋体" w:cs="Times New Roman"/>
          <w:color w:val="000000"/>
          <w:kern w:val="0"/>
          <w:szCs w:val="21"/>
        </w:rPr>
        <w:t>和</w:t>
      </w:r>
      <w:r>
        <w:rPr>
          <w:rFonts w:ascii="Times New Roman" w:hAnsi="Times New Roman" w:eastAsia="宋体" w:cs="Times New Roman"/>
          <w:color w:val="000000"/>
          <w:kern w:val="0"/>
          <w:szCs w:val="21"/>
        </w:rPr>
        <w:t>0.01mg/ml</w:t>
      </w:r>
      <w:r>
        <w:rPr>
          <w:rFonts w:hint="eastAsia" w:ascii="Times New Roman" w:hAnsi="Times New Roman" w:eastAsia="宋体" w:cs="Times New Roman"/>
          <w:color w:val="000000"/>
          <w:kern w:val="0"/>
          <w:szCs w:val="21"/>
        </w:rPr>
        <w:t>，丙胺卡因和邻甲苯胺的最高血浆药物浓度分别为</w:t>
      </w:r>
      <w:r>
        <w:rPr>
          <w:rFonts w:ascii="Times New Roman" w:hAnsi="Times New Roman" w:eastAsia="宋体" w:cs="Times New Roman"/>
          <w:color w:val="000000"/>
          <w:kern w:val="0"/>
          <w:szCs w:val="21"/>
        </w:rPr>
        <w:t>0.08mg/ml</w:t>
      </w:r>
      <w:r>
        <w:rPr>
          <w:rFonts w:hint="eastAsia" w:ascii="Times New Roman" w:hAnsi="Times New Roman" w:eastAsia="宋体" w:cs="Times New Roman"/>
          <w:color w:val="000000"/>
          <w:kern w:val="0"/>
          <w:szCs w:val="21"/>
        </w:rPr>
        <w:t>和</w:t>
      </w:r>
      <w:r>
        <w:rPr>
          <w:rFonts w:ascii="Times New Roman" w:hAnsi="Times New Roman" w:eastAsia="宋体" w:cs="Times New Roman"/>
          <w:color w:val="000000"/>
          <w:kern w:val="0"/>
          <w:szCs w:val="21"/>
        </w:rPr>
        <w:t>0.01mg/ml</w:t>
      </w:r>
      <w:r>
        <w:rPr>
          <w:rFonts w:hint="eastAsia" w:ascii="Times New Roman" w:hAnsi="Times New Roman" w:eastAsia="宋体" w:cs="Times New Roman"/>
          <w:color w:val="000000"/>
          <w:kern w:val="0"/>
          <w:szCs w:val="21"/>
        </w:rPr>
        <w:t>。</w:t>
      </w:r>
    </w:p>
    <w:p>
      <w:pPr>
        <w:spacing w:line="360" w:lineRule="auto"/>
        <w:rPr>
          <w:rFonts w:ascii="Times New Roman" w:hAnsi="Times New Roman" w:eastAsia="宋体" w:cs="Times New Roman"/>
          <w:highlight w:val="none"/>
        </w:rPr>
      </w:pPr>
      <w:r>
        <w:rPr>
          <w:rFonts w:hint="eastAsia" w:ascii="Times New Roman" w:hAnsi="Times New Roman" w:eastAsia="宋体" w:cs="Times New Roman"/>
          <w:b/>
          <w:highlight w:val="none"/>
        </w:rPr>
        <w:t>【贮藏】</w:t>
      </w:r>
      <w:r>
        <w:rPr>
          <w:rFonts w:ascii="Times New Roman" w:hAnsi="Times New Roman" w:eastAsia="宋体" w:cs="Times New Roman"/>
          <w:highlight w:val="none"/>
        </w:rPr>
        <w:t xml:space="preserve">  </w:t>
      </w:r>
      <w:r>
        <w:rPr>
          <w:rFonts w:hint="eastAsia" w:ascii="Times New Roman" w:hAnsi="Times New Roman" w:eastAsia="宋体" w:cs="Times New Roman"/>
          <w:highlight w:val="none"/>
        </w:rPr>
        <w:t>密封保存，避免冷冻。</w:t>
      </w:r>
    </w:p>
    <w:p>
      <w:pPr>
        <w:spacing w:line="360" w:lineRule="auto"/>
        <w:rPr>
          <w:rFonts w:ascii="Times New Roman" w:hAnsi="Times New Roman" w:eastAsia="宋体" w:cs="Times New Roman"/>
          <w:highlight w:val="none"/>
        </w:rPr>
      </w:pPr>
      <w:r>
        <w:rPr>
          <w:rFonts w:hint="eastAsia" w:ascii="Times New Roman" w:hAnsi="Times New Roman" w:eastAsia="宋体" w:cs="Times New Roman"/>
          <w:b/>
          <w:highlight w:val="none"/>
        </w:rPr>
        <w:t>【包装】</w:t>
      </w:r>
      <w:r>
        <w:rPr>
          <w:rFonts w:ascii="Times New Roman" w:hAnsi="Times New Roman" w:eastAsia="宋体" w:cs="Times New Roman"/>
          <w:highlight w:val="none"/>
        </w:rPr>
        <w:t xml:space="preserve">  </w:t>
      </w:r>
      <w:r>
        <w:rPr>
          <w:rFonts w:hint="eastAsia" w:ascii="Times New Roman" w:hAnsi="Times New Roman" w:eastAsia="宋体" w:cs="Times New Roman"/>
          <w:kern w:val="0"/>
          <w:highlight w:val="none"/>
        </w:rPr>
        <w:t>铝质药用软膏管包装。</w:t>
      </w:r>
      <w:r>
        <w:rPr>
          <w:rFonts w:ascii="Times New Roman" w:hAnsi="Times New Roman" w:eastAsia="宋体" w:cs="Times New Roman"/>
          <w:kern w:val="0"/>
          <w:highlight w:val="none"/>
        </w:rPr>
        <w:t>10g/</w:t>
      </w:r>
      <w:r>
        <w:rPr>
          <w:rFonts w:hint="eastAsia" w:ascii="Times New Roman" w:hAnsi="Times New Roman" w:eastAsia="宋体" w:cs="Times New Roman"/>
          <w:kern w:val="0"/>
          <w:highlight w:val="none"/>
        </w:rPr>
        <w:t>管</w:t>
      </w:r>
      <w:r>
        <w:rPr>
          <w:rFonts w:ascii="Times New Roman" w:hAnsi="Times New Roman" w:eastAsia="宋体" w:cs="Times New Roman"/>
          <w:kern w:val="0"/>
          <w:highlight w:val="none"/>
        </w:rPr>
        <w:t>；30g/</w:t>
      </w:r>
      <w:r>
        <w:rPr>
          <w:rFonts w:hint="eastAsia" w:ascii="Times New Roman" w:hAnsi="Times New Roman" w:eastAsia="宋体" w:cs="Times New Roman"/>
          <w:kern w:val="0"/>
          <w:highlight w:val="none"/>
        </w:rPr>
        <w:t>管。</w:t>
      </w:r>
    </w:p>
    <w:p>
      <w:pPr>
        <w:spacing w:line="360" w:lineRule="auto"/>
        <w:rPr>
          <w:rFonts w:ascii="Times New Roman" w:hAnsi="Times New Roman" w:eastAsia="宋体" w:cs="Times New Roman"/>
          <w:highlight w:val="none"/>
        </w:rPr>
      </w:pPr>
      <w:r>
        <w:rPr>
          <w:rFonts w:hint="eastAsia" w:ascii="Times New Roman" w:hAnsi="Times New Roman" w:eastAsia="宋体" w:cs="Times New Roman"/>
          <w:b/>
          <w:highlight w:val="none"/>
        </w:rPr>
        <w:t>【有效期】</w:t>
      </w:r>
      <w:r>
        <w:rPr>
          <w:rFonts w:ascii="Times New Roman" w:hAnsi="Times New Roman" w:eastAsia="宋体" w:cs="Times New Roman"/>
          <w:highlight w:val="none"/>
        </w:rPr>
        <w:t xml:space="preserve">  24</w:t>
      </w:r>
      <w:r>
        <w:rPr>
          <w:rFonts w:hint="eastAsia" w:ascii="Times New Roman" w:hAnsi="Times New Roman" w:eastAsia="宋体" w:cs="Times New Roman"/>
          <w:highlight w:val="none"/>
        </w:rPr>
        <w:t>个月</w:t>
      </w:r>
    </w:p>
    <w:p>
      <w:pPr>
        <w:spacing w:line="360" w:lineRule="auto"/>
        <w:rPr>
          <w:rFonts w:hint="default" w:ascii="Times New Roman" w:hAnsi="Times New Roman" w:eastAsia="宋体" w:cs="Times New Roman"/>
          <w:highlight w:val="none"/>
          <w:lang w:val="en-US" w:eastAsia="zh-CN"/>
        </w:rPr>
      </w:pPr>
      <w:r>
        <w:rPr>
          <w:rFonts w:hint="eastAsia" w:ascii="Times New Roman" w:hAnsi="Times New Roman" w:eastAsia="宋体" w:cs="Times New Roman"/>
          <w:b/>
          <w:highlight w:val="none"/>
        </w:rPr>
        <w:t>【执行标准】</w:t>
      </w:r>
      <w:r>
        <w:rPr>
          <w:rFonts w:ascii="Times New Roman" w:hAnsi="Times New Roman" w:eastAsia="宋体" w:cs="Times New Roman"/>
          <w:highlight w:val="none"/>
        </w:rPr>
        <w:t xml:space="preserve">  </w:t>
      </w:r>
      <w:r>
        <w:rPr>
          <w:rFonts w:hint="eastAsia" w:ascii="Times New Roman" w:hAnsi="Times New Roman" w:eastAsia="宋体" w:cs="Times New Roman"/>
          <w:highlight w:val="none"/>
          <w:lang w:val="en-US" w:eastAsia="zh-CN"/>
        </w:rPr>
        <w:t>YBH06272023</w:t>
      </w:r>
    </w:p>
    <w:p>
      <w:pPr>
        <w:spacing w:line="360" w:lineRule="auto"/>
        <w:rPr>
          <w:rFonts w:hint="default" w:ascii="Times New Roman" w:hAnsi="Times New Roman" w:eastAsia="宋体" w:cs="Times New Roman"/>
          <w:b/>
          <w:highlight w:val="none"/>
          <w:lang w:val="en-US" w:eastAsia="zh-CN"/>
        </w:rPr>
      </w:pPr>
      <w:r>
        <w:rPr>
          <w:rFonts w:hint="eastAsia" w:ascii="Times New Roman" w:hAnsi="Times New Roman" w:eastAsia="宋体" w:cs="Times New Roman"/>
          <w:b/>
          <w:highlight w:val="none"/>
        </w:rPr>
        <w:t>【批准文号】</w:t>
      </w:r>
      <w:r>
        <w:rPr>
          <w:rFonts w:hint="eastAsia" w:ascii="Times New Roman" w:hAnsi="Times New Roman" w:eastAsia="宋体" w:cs="Times New Roman"/>
          <w:highlight w:val="none"/>
        </w:rPr>
        <w:t xml:space="preserve">  </w:t>
      </w:r>
      <w:r>
        <w:rPr>
          <w:rFonts w:hint="eastAsia" w:ascii="Times New Roman" w:hAnsi="Times New Roman" w:eastAsia="宋体" w:cs="Times New Roman"/>
          <w:highlight w:val="none"/>
          <w:lang w:val="en-US" w:eastAsia="zh-CN"/>
        </w:rPr>
        <w:t>国药准字H20233629</w:t>
      </w:r>
    </w:p>
    <w:p>
      <w:pPr>
        <w:spacing w:line="360" w:lineRule="auto"/>
        <w:rPr>
          <w:rFonts w:ascii="Times New Roman" w:hAnsi="Times New Roman" w:eastAsia="宋体" w:cs="Times New Roman"/>
          <w:b/>
          <w:highlight w:val="none"/>
        </w:rPr>
      </w:pPr>
      <w:r>
        <w:rPr>
          <w:rFonts w:hint="eastAsia" w:ascii="Times New Roman" w:hAnsi="Times New Roman" w:eastAsia="宋体" w:cs="Times New Roman"/>
          <w:b/>
          <w:highlight w:val="none"/>
        </w:rPr>
        <w:t>【上市</w:t>
      </w:r>
      <w:r>
        <w:rPr>
          <w:rFonts w:ascii="Times New Roman" w:hAnsi="Times New Roman" w:eastAsia="宋体" w:cs="Times New Roman"/>
          <w:b/>
          <w:highlight w:val="none"/>
        </w:rPr>
        <w:t>许可持有人</w:t>
      </w:r>
      <w:r>
        <w:rPr>
          <w:rFonts w:hint="eastAsia" w:ascii="Times New Roman" w:hAnsi="Times New Roman" w:eastAsia="宋体" w:cs="Times New Roman"/>
          <w:b/>
          <w:highlight w:val="none"/>
        </w:rPr>
        <w:t>】</w:t>
      </w:r>
    </w:p>
    <w:p>
      <w:pPr>
        <w:adjustRightInd w:val="0"/>
        <w:spacing w:line="360" w:lineRule="auto"/>
        <w:ind w:firstLine="420" w:firstLineChars="200"/>
        <w:rPr>
          <w:rFonts w:ascii="Times New Roman" w:hAnsi="Times New Roman" w:eastAsia="宋体" w:cs="Times New Roman"/>
          <w:bCs/>
          <w:kern w:val="0"/>
          <w:szCs w:val="24"/>
          <w:highlight w:val="none"/>
        </w:rPr>
      </w:pPr>
      <w:r>
        <w:rPr>
          <w:rFonts w:ascii="Times New Roman" w:hAnsi="Times New Roman" w:eastAsia="宋体" w:cs="Times New Roman"/>
          <w:bCs/>
          <w:kern w:val="0"/>
          <w:szCs w:val="24"/>
          <w:highlight w:val="none"/>
        </w:rPr>
        <w:t>企业名称：珠海莱奇</w:t>
      </w:r>
      <w:r>
        <w:rPr>
          <w:rFonts w:hint="eastAsia" w:ascii="Times New Roman" w:hAnsi="Times New Roman" w:eastAsia="宋体" w:cs="Times New Roman"/>
          <w:bCs/>
          <w:kern w:val="0"/>
          <w:szCs w:val="24"/>
          <w:highlight w:val="none"/>
        </w:rPr>
        <w:t>生物</w:t>
      </w:r>
      <w:r>
        <w:rPr>
          <w:rFonts w:ascii="Times New Roman" w:hAnsi="Times New Roman" w:eastAsia="宋体" w:cs="Times New Roman"/>
          <w:bCs/>
          <w:kern w:val="0"/>
          <w:szCs w:val="24"/>
          <w:highlight w:val="none"/>
        </w:rPr>
        <w:t>科技有限公司</w:t>
      </w:r>
    </w:p>
    <w:p>
      <w:pPr>
        <w:adjustRightInd w:val="0"/>
        <w:spacing w:line="360" w:lineRule="auto"/>
        <w:ind w:firstLine="420" w:firstLineChars="200"/>
        <w:rPr>
          <w:rFonts w:ascii="Times New Roman" w:hAnsi="Times New Roman" w:eastAsia="宋体" w:cs="Times New Roman"/>
          <w:bCs/>
          <w:kern w:val="0"/>
          <w:szCs w:val="24"/>
          <w:highlight w:val="none"/>
        </w:rPr>
      </w:pPr>
      <w:r>
        <w:rPr>
          <w:rFonts w:ascii="Times New Roman" w:hAnsi="Times New Roman" w:eastAsia="宋体" w:cs="Times New Roman"/>
          <w:bCs/>
          <w:kern w:val="0"/>
          <w:szCs w:val="24"/>
          <w:highlight w:val="none"/>
        </w:rPr>
        <w:t>注册地址：</w:t>
      </w:r>
      <w:r>
        <w:rPr>
          <w:rFonts w:hint="eastAsia" w:ascii="Times New Roman" w:hAnsi="Times New Roman" w:eastAsia="宋体" w:cs="Times New Roman"/>
          <w:bCs/>
          <w:kern w:val="0"/>
          <w:szCs w:val="24"/>
          <w:highlight w:val="none"/>
        </w:rPr>
        <w:t>珠海市横琴新区豆蔻路1号粤澳合作中医药科技产业园总部研发办公大楼403室</w:t>
      </w:r>
    </w:p>
    <w:p>
      <w:pPr>
        <w:adjustRightInd w:val="0"/>
        <w:spacing w:line="360" w:lineRule="auto"/>
        <w:ind w:firstLine="420" w:firstLineChars="200"/>
        <w:rPr>
          <w:rFonts w:ascii="Times New Roman" w:hAnsi="Times New Roman" w:eastAsia="宋体" w:cs="Times New Roman"/>
          <w:bCs/>
          <w:kern w:val="0"/>
          <w:szCs w:val="24"/>
          <w:highlight w:val="none"/>
        </w:rPr>
      </w:pPr>
      <w:r>
        <w:rPr>
          <w:rFonts w:ascii="Times New Roman" w:hAnsi="Times New Roman" w:eastAsia="宋体" w:cs="Times New Roman"/>
          <w:bCs/>
          <w:kern w:val="0"/>
          <w:szCs w:val="24"/>
          <w:highlight w:val="none"/>
        </w:rPr>
        <w:t>邮政编码：5190</w:t>
      </w:r>
      <w:r>
        <w:rPr>
          <w:rFonts w:hint="eastAsia" w:ascii="Times New Roman" w:hAnsi="Times New Roman" w:eastAsia="宋体" w:cs="Times New Roman"/>
          <w:bCs/>
          <w:kern w:val="0"/>
          <w:szCs w:val="24"/>
          <w:highlight w:val="none"/>
        </w:rPr>
        <w:t>00</w:t>
      </w:r>
    </w:p>
    <w:p>
      <w:pPr>
        <w:adjustRightInd w:val="0"/>
        <w:spacing w:line="360" w:lineRule="auto"/>
        <w:ind w:firstLine="420" w:firstLineChars="200"/>
        <w:rPr>
          <w:rFonts w:ascii="Times New Roman" w:hAnsi="Times New Roman" w:eastAsia="宋体" w:cs="Times New Roman"/>
          <w:szCs w:val="21"/>
          <w:highlight w:val="none"/>
        </w:rPr>
      </w:pPr>
      <w:r>
        <w:rPr>
          <w:rFonts w:ascii="Times New Roman" w:hAnsi="Times New Roman" w:eastAsia="宋体" w:cs="Times New Roman"/>
          <w:bCs/>
          <w:kern w:val="0"/>
          <w:szCs w:val="24"/>
          <w:highlight w:val="none"/>
        </w:rPr>
        <w:t>联系电话：0756-8917390</w:t>
      </w:r>
    </w:p>
    <w:p>
      <w:pPr>
        <w:spacing w:line="360" w:lineRule="auto"/>
        <w:rPr>
          <w:rFonts w:ascii="Times New Roman" w:hAnsi="Times New Roman" w:eastAsia="宋体" w:cs="Times New Roman"/>
          <w:b/>
          <w:highlight w:val="none"/>
        </w:rPr>
      </w:pPr>
      <w:r>
        <w:rPr>
          <w:rFonts w:hint="eastAsia" w:ascii="Times New Roman" w:hAnsi="Times New Roman" w:eastAsia="宋体" w:cs="Times New Roman"/>
          <w:b/>
          <w:highlight w:val="none"/>
        </w:rPr>
        <w:t>【生产企业】</w:t>
      </w:r>
    </w:p>
    <w:p>
      <w:pPr>
        <w:adjustRightInd w:val="0"/>
        <w:spacing w:line="360" w:lineRule="auto"/>
        <w:ind w:firstLine="420" w:firstLineChars="200"/>
        <w:rPr>
          <w:rFonts w:ascii="Times New Roman" w:hAnsi="Times New Roman" w:eastAsia="宋体" w:cs="Times New Roman"/>
          <w:szCs w:val="21"/>
          <w:highlight w:val="none"/>
        </w:rPr>
      </w:pPr>
      <w:r>
        <w:rPr>
          <w:rFonts w:ascii="Times New Roman" w:hAnsi="Times New Roman" w:eastAsia="宋体" w:cs="Times New Roman"/>
          <w:szCs w:val="21"/>
          <w:highlight w:val="none"/>
        </w:rPr>
        <w:t>企业名称：乳源东阳光药业有限公司</w:t>
      </w:r>
    </w:p>
    <w:p>
      <w:pPr>
        <w:adjustRightInd w:val="0"/>
        <w:spacing w:line="360" w:lineRule="auto"/>
        <w:ind w:firstLine="420" w:firstLineChars="200"/>
        <w:rPr>
          <w:rFonts w:ascii="Times New Roman" w:hAnsi="Times New Roman" w:eastAsia="宋体" w:cs="Times New Roman"/>
          <w:szCs w:val="21"/>
          <w:highlight w:val="none"/>
        </w:rPr>
      </w:pPr>
      <w:r>
        <w:rPr>
          <w:rFonts w:ascii="Times New Roman" w:hAnsi="Times New Roman" w:eastAsia="宋体" w:cs="Times New Roman"/>
          <w:szCs w:val="21"/>
          <w:highlight w:val="none"/>
        </w:rPr>
        <w:t>生产地址：</w:t>
      </w:r>
      <w:r>
        <w:rPr>
          <w:rFonts w:hint="eastAsia" w:ascii="Times New Roman" w:hAnsi="Times New Roman" w:eastAsia="宋体" w:cs="Times New Roman"/>
          <w:szCs w:val="21"/>
          <w:highlight w:val="none"/>
        </w:rPr>
        <w:t>广东省韶关市乳源瑶族自治县乳城镇侯公渡龙船湾下坝开发区</w:t>
      </w:r>
    </w:p>
    <w:p>
      <w:pPr>
        <w:adjustRightInd w:val="0"/>
        <w:spacing w:line="360" w:lineRule="auto"/>
        <w:ind w:firstLine="420" w:firstLineChars="200"/>
        <w:rPr>
          <w:rFonts w:ascii="Times New Roman" w:hAnsi="Times New Roman" w:eastAsia="宋体" w:cs="Times New Roman"/>
          <w:szCs w:val="21"/>
          <w:highlight w:val="none"/>
        </w:rPr>
      </w:pPr>
      <w:r>
        <w:rPr>
          <w:rFonts w:ascii="Times New Roman" w:hAnsi="Times New Roman" w:eastAsia="宋体" w:cs="Times New Roman"/>
          <w:szCs w:val="21"/>
          <w:highlight w:val="none"/>
        </w:rPr>
        <w:t>邮政编码：512</w:t>
      </w:r>
      <w:r>
        <w:rPr>
          <w:rFonts w:hint="eastAsia" w:ascii="Times New Roman" w:hAnsi="Times New Roman" w:eastAsia="宋体" w:cs="Times New Roman"/>
          <w:szCs w:val="21"/>
          <w:highlight w:val="none"/>
        </w:rPr>
        <w:t>7</w:t>
      </w:r>
      <w:r>
        <w:rPr>
          <w:rFonts w:ascii="Times New Roman" w:hAnsi="Times New Roman" w:eastAsia="宋体" w:cs="Times New Roman"/>
          <w:szCs w:val="21"/>
          <w:highlight w:val="none"/>
        </w:rPr>
        <w:t>00</w:t>
      </w:r>
    </w:p>
    <w:p>
      <w:pPr>
        <w:adjustRightInd w:val="0"/>
        <w:spacing w:line="360" w:lineRule="auto"/>
        <w:ind w:firstLine="420" w:firstLineChars="200"/>
        <w:rPr>
          <w:rFonts w:ascii="Times New Roman" w:hAnsi="Times New Roman" w:eastAsia="宋体" w:cs="Times New Roman"/>
          <w:szCs w:val="21"/>
          <w:highlight w:val="none"/>
        </w:rPr>
      </w:pPr>
      <w:r>
        <w:rPr>
          <w:rFonts w:ascii="Times New Roman" w:hAnsi="Times New Roman" w:eastAsia="宋体" w:cs="Times New Roman"/>
          <w:szCs w:val="21"/>
          <w:highlight w:val="none"/>
        </w:rPr>
        <w:t>联系电话：0751-52</w:t>
      </w:r>
      <w:r>
        <w:rPr>
          <w:rFonts w:hint="eastAsia" w:ascii="Times New Roman" w:hAnsi="Times New Roman" w:eastAsia="宋体" w:cs="Times New Roman"/>
          <w:szCs w:val="21"/>
          <w:highlight w:val="none"/>
        </w:rPr>
        <w:t>86508</w:t>
      </w:r>
    </w:p>
    <w:p>
      <w:pPr>
        <w:adjustRightInd w:val="0"/>
        <w:spacing w:line="360" w:lineRule="auto"/>
        <w:ind w:firstLine="420" w:firstLineChars="200"/>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企业网址：http://pharm.hec.cn</w:t>
      </w:r>
    </w:p>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610FC4"/>
    <w:multiLevelType w:val="multilevel"/>
    <w:tmpl w:val="7B610FC4"/>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